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862C73" w:rsidRDefault="000470C5" w:rsidP="005A4F39">
      <w:pPr>
        <w:pStyle w:val="Header"/>
        <w:tabs>
          <w:tab w:val="right" w:pos="9072"/>
        </w:tabs>
        <w:rPr>
          <w:rFonts w:ascii="Arial" w:hAnsi="Arial" w:cs="Arial"/>
          <w:sz w:val="24"/>
          <w:szCs w:val="28"/>
          <w:lang w:val="en-CA"/>
        </w:rPr>
      </w:pPr>
      <w:r w:rsidRPr="00862C73">
        <w:rPr>
          <w:rFonts w:ascii="Arial" w:hAnsi="Arial" w:cs="Arial"/>
          <w:sz w:val="24"/>
          <w:szCs w:val="28"/>
          <w:lang w:val="en-CA"/>
        </w:rPr>
        <w:t>3GPP TSG RAN WG4 Meeting #8</w:t>
      </w:r>
      <w:r w:rsidR="004E07F7">
        <w:rPr>
          <w:rFonts w:ascii="Arial" w:hAnsi="Arial" w:cs="Arial"/>
          <w:sz w:val="24"/>
          <w:szCs w:val="28"/>
          <w:lang w:val="en-CA"/>
        </w:rPr>
        <w:t>4</w:t>
      </w:r>
      <w:r w:rsidR="00D80957" w:rsidRPr="00862C73">
        <w:rPr>
          <w:rFonts w:ascii="Arial" w:hAnsi="Arial" w:cs="Arial"/>
          <w:sz w:val="24"/>
          <w:szCs w:val="28"/>
          <w:lang w:val="en-CA"/>
        </w:rPr>
        <w:tab/>
      </w:r>
      <w:r w:rsidR="00AA7522" w:rsidRPr="00862C73">
        <w:rPr>
          <w:rFonts w:ascii="Arial" w:hAnsi="Arial" w:cs="Arial"/>
          <w:sz w:val="24"/>
          <w:szCs w:val="28"/>
          <w:lang w:val="en-CA"/>
        </w:rPr>
        <w:t>R4-17</w:t>
      </w:r>
      <w:r w:rsidR="003546C5" w:rsidRPr="00862C73">
        <w:rPr>
          <w:rFonts w:ascii="Arial" w:hAnsi="Arial" w:cs="Arial"/>
          <w:sz w:val="24"/>
          <w:szCs w:val="28"/>
          <w:lang w:val="en-CA"/>
        </w:rPr>
        <w:t>0</w:t>
      </w:r>
      <w:r w:rsidR="001D7255">
        <w:rPr>
          <w:rFonts w:ascii="Arial" w:hAnsi="Arial" w:cs="Arial"/>
          <w:sz w:val="24"/>
          <w:szCs w:val="28"/>
          <w:lang w:val="en-CA"/>
        </w:rPr>
        <w:t>8317</w:t>
      </w:r>
    </w:p>
    <w:p w:rsidR="00D80957" w:rsidRPr="00862C73" w:rsidRDefault="004E07F7" w:rsidP="005A4F39">
      <w:pPr>
        <w:pStyle w:val="Header"/>
        <w:tabs>
          <w:tab w:val="right" w:pos="9072"/>
        </w:tabs>
        <w:rPr>
          <w:rFonts w:ascii="Arial" w:hAnsi="Arial" w:cs="Arial"/>
          <w:sz w:val="24"/>
          <w:szCs w:val="28"/>
          <w:lang w:val="en-CA"/>
        </w:rPr>
      </w:pPr>
      <w:r>
        <w:rPr>
          <w:rFonts w:ascii="Arial" w:hAnsi="Arial" w:cs="Arial"/>
          <w:sz w:val="24"/>
          <w:szCs w:val="28"/>
          <w:lang w:val="en-CA"/>
        </w:rPr>
        <w:t>Berlin</w:t>
      </w:r>
      <w:r w:rsidR="006F2C29" w:rsidRPr="00862C73">
        <w:rPr>
          <w:rFonts w:ascii="Arial" w:hAnsi="Arial" w:cs="Arial"/>
          <w:sz w:val="24"/>
          <w:szCs w:val="28"/>
          <w:lang w:val="en-CA"/>
        </w:rPr>
        <w:t xml:space="preserve">, </w:t>
      </w:r>
      <w:r>
        <w:rPr>
          <w:rFonts w:ascii="Arial" w:hAnsi="Arial" w:cs="Arial"/>
          <w:sz w:val="24"/>
          <w:szCs w:val="28"/>
          <w:lang w:val="en-CA"/>
        </w:rPr>
        <w:t>Germany</w:t>
      </w:r>
      <w:r w:rsidR="006F2C29" w:rsidRPr="00862C73">
        <w:rPr>
          <w:rFonts w:ascii="Arial" w:hAnsi="Arial" w:cs="Arial"/>
          <w:sz w:val="24"/>
          <w:szCs w:val="28"/>
          <w:lang w:val="en-CA"/>
        </w:rPr>
        <w:t xml:space="preserve">, </w:t>
      </w:r>
      <w:r>
        <w:rPr>
          <w:rFonts w:ascii="Arial" w:hAnsi="Arial" w:cs="Arial"/>
          <w:sz w:val="24"/>
          <w:szCs w:val="28"/>
          <w:lang w:val="en-CA"/>
        </w:rPr>
        <w:t>August</w:t>
      </w:r>
      <w:r w:rsidR="006F2C29" w:rsidRPr="00862C73">
        <w:rPr>
          <w:rFonts w:ascii="Arial" w:hAnsi="Arial" w:cs="Arial"/>
          <w:sz w:val="24"/>
          <w:szCs w:val="28"/>
          <w:lang w:val="en-CA"/>
        </w:rPr>
        <w:t xml:space="preserve"> </w:t>
      </w:r>
      <w:r>
        <w:rPr>
          <w:rFonts w:ascii="Arial" w:hAnsi="Arial" w:cs="Arial"/>
          <w:sz w:val="24"/>
          <w:szCs w:val="28"/>
          <w:lang w:val="en-CA"/>
        </w:rPr>
        <w:t>21</w:t>
      </w:r>
      <w:r w:rsidR="006F2C29" w:rsidRPr="00862C73">
        <w:rPr>
          <w:rFonts w:ascii="Arial" w:hAnsi="Arial" w:cs="Arial"/>
          <w:sz w:val="24"/>
          <w:szCs w:val="28"/>
          <w:lang w:val="en-CA"/>
        </w:rPr>
        <w:t xml:space="preserve"> – </w:t>
      </w:r>
      <w:r>
        <w:rPr>
          <w:rFonts w:ascii="Arial" w:hAnsi="Arial" w:cs="Arial"/>
          <w:sz w:val="24"/>
          <w:szCs w:val="28"/>
          <w:lang w:val="en-CA"/>
        </w:rPr>
        <w:t>25</w:t>
      </w:r>
      <w:r w:rsidR="006F2C29" w:rsidRPr="00862C73">
        <w:rPr>
          <w:rFonts w:ascii="Arial" w:hAnsi="Arial" w:cs="Arial"/>
          <w:sz w:val="24"/>
          <w:szCs w:val="28"/>
          <w:lang w:val="en-CA"/>
        </w:rPr>
        <w:t>, 2017</w:t>
      </w:r>
    </w:p>
    <w:p w:rsidR="00D80957" w:rsidRPr="00862C73" w:rsidRDefault="00D80957" w:rsidP="0033186E">
      <w:pPr>
        <w:tabs>
          <w:tab w:val="left" w:pos="1985"/>
        </w:tabs>
        <w:spacing w:before="240" w:after="0"/>
        <w:jc w:val="both"/>
        <w:rPr>
          <w:rFonts w:ascii="Arial" w:hAnsi="Arial" w:cs="Arial"/>
          <w:bCs/>
          <w:sz w:val="22"/>
          <w:szCs w:val="22"/>
          <w:lang w:val="en-CA"/>
        </w:rPr>
      </w:pPr>
      <w:r w:rsidRPr="00862C73">
        <w:rPr>
          <w:rFonts w:ascii="Arial" w:hAnsi="Arial" w:cs="Arial"/>
          <w:b/>
          <w:sz w:val="22"/>
          <w:szCs w:val="22"/>
          <w:lang w:val="en-CA"/>
        </w:rPr>
        <w:t>Agenda Item:</w:t>
      </w:r>
      <w:r w:rsidRPr="00862C73">
        <w:rPr>
          <w:rFonts w:ascii="Arial" w:hAnsi="Arial" w:cs="Arial"/>
          <w:b/>
          <w:sz w:val="22"/>
          <w:szCs w:val="22"/>
          <w:lang w:val="en-CA"/>
        </w:rPr>
        <w:tab/>
      </w:r>
      <w:r w:rsidR="001D7255" w:rsidRPr="001D7255">
        <w:rPr>
          <w:rFonts w:ascii="Arial" w:hAnsi="Arial" w:cs="Arial"/>
          <w:sz w:val="22"/>
          <w:szCs w:val="22"/>
          <w:lang w:val="en-CA"/>
        </w:rPr>
        <w:t>8.24.1</w:t>
      </w:r>
      <w:bookmarkStart w:id="0" w:name="_GoBack"/>
      <w:bookmarkEnd w:id="0"/>
    </w:p>
    <w:p w:rsidR="00D80957" w:rsidRPr="00862C73" w:rsidRDefault="00D80957" w:rsidP="0033186E">
      <w:pPr>
        <w:tabs>
          <w:tab w:val="left" w:pos="1985"/>
        </w:tabs>
        <w:spacing w:after="0"/>
        <w:jc w:val="both"/>
        <w:rPr>
          <w:rFonts w:ascii="Arial" w:hAnsi="Arial" w:cs="Arial"/>
          <w:b/>
          <w:sz w:val="22"/>
          <w:szCs w:val="22"/>
          <w:lang w:val="en-CA"/>
        </w:rPr>
      </w:pPr>
      <w:r w:rsidRPr="00862C73">
        <w:rPr>
          <w:rFonts w:ascii="Arial" w:hAnsi="Arial" w:cs="Arial"/>
          <w:b/>
          <w:sz w:val="22"/>
          <w:szCs w:val="22"/>
          <w:lang w:val="en-CA"/>
        </w:rPr>
        <w:t xml:space="preserve">Source: </w:t>
      </w:r>
      <w:r w:rsidRPr="00862C73">
        <w:rPr>
          <w:rFonts w:ascii="Arial" w:hAnsi="Arial" w:cs="Arial"/>
          <w:b/>
          <w:sz w:val="22"/>
          <w:szCs w:val="22"/>
          <w:lang w:val="en-CA"/>
        </w:rPr>
        <w:tab/>
      </w:r>
      <w:r w:rsidRPr="00862C73">
        <w:rPr>
          <w:rFonts w:ascii="Arial" w:hAnsi="Arial" w:cs="Arial"/>
          <w:bCs/>
          <w:sz w:val="22"/>
          <w:szCs w:val="22"/>
          <w:lang w:val="en-CA"/>
        </w:rPr>
        <w:t>Ericsson</w:t>
      </w:r>
    </w:p>
    <w:p w:rsidR="00D80957" w:rsidRPr="00862C73" w:rsidRDefault="00D80957" w:rsidP="00FE2AF6">
      <w:pPr>
        <w:tabs>
          <w:tab w:val="left" w:pos="1985"/>
        </w:tabs>
        <w:spacing w:after="0"/>
        <w:jc w:val="both"/>
        <w:rPr>
          <w:rFonts w:ascii="Arial" w:hAnsi="Arial" w:cs="Arial"/>
          <w:sz w:val="22"/>
          <w:szCs w:val="22"/>
          <w:lang w:val="en-CA"/>
        </w:rPr>
      </w:pPr>
      <w:r w:rsidRPr="00862C73">
        <w:rPr>
          <w:rFonts w:ascii="Arial" w:hAnsi="Arial" w:cs="Arial"/>
          <w:b/>
          <w:sz w:val="22"/>
          <w:szCs w:val="22"/>
          <w:lang w:val="en-CA"/>
        </w:rPr>
        <w:t>Title:</w:t>
      </w:r>
      <w:r w:rsidRPr="00862C73">
        <w:rPr>
          <w:rFonts w:ascii="Arial" w:hAnsi="Arial" w:cs="Arial"/>
          <w:sz w:val="22"/>
          <w:szCs w:val="22"/>
          <w:lang w:val="en-CA"/>
        </w:rPr>
        <w:tab/>
      </w:r>
      <w:r w:rsidR="00F0393C">
        <w:rPr>
          <w:rFonts w:ascii="Arial" w:hAnsi="Arial" w:cs="Arial"/>
          <w:sz w:val="22"/>
          <w:szCs w:val="22"/>
          <w:lang w:val="en-CA"/>
        </w:rPr>
        <w:t xml:space="preserve">On measurements </w:t>
      </w:r>
      <w:r w:rsidR="009F32D5">
        <w:rPr>
          <w:rFonts w:ascii="Arial" w:hAnsi="Arial" w:cs="Arial"/>
          <w:sz w:val="22"/>
          <w:szCs w:val="22"/>
          <w:lang w:val="en-CA"/>
        </w:rPr>
        <w:t xml:space="preserve">accuracy when </w:t>
      </w:r>
      <w:r w:rsidR="00F0393C">
        <w:rPr>
          <w:rFonts w:ascii="Arial" w:hAnsi="Arial" w:cs="Arial"/>
          <w:sz w:val="22"/>
          <w:szCs w:val="22"/>
          <w:lang w:val="en-CA"/>
        </w:rPr>
        <w:t xml:space="preserve">using NSSS and NRS </w:t>
      </w:r>
    </w:p>
    <w:p w:rsidR="00D80957" w:rsidRPr="00862C73" w:rsidRDefault="00D80957" w:rsidP="0033186E">
      <w:pPr>
        <w:tabs>
          <w:tab w:val="left" w:pos="1985"/>
        </w:tabs>
        <w:spacing w:after="0"/>
        <w:jc w:val="both"/>
        <w:rPr>
          <w:rFonts w:ascii="Arial" w:hAnsi="Arial" w:cs="Arial"/>
          <w:sz w:val="22"/>
          <w:szCs w:val="22"/>
          <w:lang w:val="en-CA"/>
        </w:rPr>
      </w:pPr>
      <w:r w:rsidRPr="00862C73">
        <w:rPr>
          <w:rFonts w:ascii="Arial" w:hAnsi="Arial" w:cs="Arial"/>
          <w:b/>
          <w:sz w:val="22"/>
          <w:szCs w:val="22"/>
          <w:lang w:val="en-CA"/>
        </w:rPr>
        <w:t>Document for:</w:t>
      </w:r>
      <w:r w:rsidR="0004190F" w:rsidRPr="00862C73">
        <w:rPr>
          <w:rFonts w:ascii="Arial" w:hAnsi="Arial" w:cs="Arial"/>
          <w:sz w:val="22"/>
          <w:szCs w:val="22"/>
          <w:lang w:val="en-CA"/>
        </w:rPr>
        <w:tab/>
      </w:r>
      <w:r w:rsidR="00F56366" w:rsidRPr="00862C73">
        <w:rPr>
          <w:rFonts w:ascii="Arial" w:hAnsi="Arial" w:cs="Arial"/>
          <w:sz w:val="22"/>
          <w:szCs w:val="22"/>
          <w:lang w:val="en-CA"/>
        </w:rPr>
        <w:t>Discussion</w:t>
      </w:r>
    </w:p>
    <w:p w:rsidR="00795BA1" w:rsidRDefault="00D80957" w:rsidP="00A70FBF">
      <w:pPr>
        <w:pStyle w:val="Heading1"/>
        <w:ind w:left="431" w:hanging="431"/>
        <w:rPr>
          <w:szCs w:val="36"/>
          <w:lang w:val="en-CA"/>
        </w:rPr>
      </w:pPr>
      <w:r w:rsidRPr="00862C73">
        <w:rPr>
          <w:szCs w:val="36"/>
          <w:lang w:val="en-CA"/>
        </w:rPr>
        <w:t>Introduction</w:t>
      </w:r>
      <w:bookmarkStart w:id="1" w:name="OLE_LINK13"/>
      <w:bookmarkStart w:id="2" w:name="OLE_LINK14"/>
    </w:p>
    <w:p w:rsidR="00A70FBF" w:rsidRDefault="00653990" w:rsidP="00A70FBF">
      <w:pPr>
        <w:rPr>
          <w:sz w:val="22"/>
          <w:lang w:val="en-CA"/>
        </w:rPr>
      </w:pPr>
      <w:r w:rsidRPr="00653990">
        <w:rPr>
          <w:noProof/>
          <w:sz w:val="22"/>
          <w:lang w:val="en-US"/>
        </w:rPr>
        <mc:AlternateContent>
          <mc:Choice Requires="wps">
            <w:drawing>
              <wp:anchor distT="45720" distB="45720" distL="114300" distR="114300" simplePos="0" relativeHeight="251659264" behindDoc="0" locked="0" layoutInCell="1" allowOverlap="1">
                <wp:simplePos x="0" y="0"/>
                <wp:positionH relativeFrom="margin">
                  <wp:posOffset>201295</wp:posOffset>
                </wp:positionH>
                <wp:positionV relativeFrom="paragraph">
                  <wp:posOffset>439420</wp:posOffset>
                </wp:positionV>
                <wp:extent cx="5566410" cy="1243330"/>
                <wp:effectExtent l="0" t="0" r="1524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6410" cy="1243330"/>
                        </a:xfrm>
                        <a:prstGeom prst="rect">
                          <a:avLst/>
                        </a:prstGeom>
                        <a:solidFill>
                          <a:srgbClr val="FFFFFF"/>
                        </a:solidFill>
                        <a:ln w="9525">
                          <a:solidFill>
                            <a:srgbClr val="000000"/>
                          </a:solidFill>
                          <a:miter lim="800000"/>
                          <a:headEnd/>
                          <a:tailEnd/>
                        </a:ln>
                      </wps:spPr>
                      <wps:txbx>
                        <w:txbxContent>
                          <w:p w:rsidR="00653990" w:rsidRDefault="00653990" w:rsidP="00653990">
                            <w:pPr>
                              <w:rPr>
                                <w:rFonts w:eastAsiaTheme="minorEastAsia" w:cs="Arial"/>
                                <w:iCs/>
                              </w:rPr>
                            </w:pPr>
                            <w:r>
                              <w:rPr>
                                <w:rFonts w:cs="Arial" w:hint="eastAsia"/>
                                <w:iCs/>
                                <w:lang w:eastAsia="ko-KR"/>
                              </w:rPr>
                              <w:t xml:space="preserve">RAN1 </w:t>
                            </w:r>
                            <w:r>
                              <w:rPr>
                                <w:rFonts w:eastAsiaTheme="minorEastAsia" w:cs="Arial" w:hint="eastAsia"/>
                                <w:iCs/>
                              </w:rPr>
                              <w:t>discussed narrowband measurement accuracy enhancement and reached the following agreement,</w:t>
                            </w:r>
                          </w:p>
                          <w:p w:rsidR="00653990" w:rsidRPr="005030D8" w:rsidRDefault="00653990" w:rsidP="00CF555C">
                            <w:pPr>
                              <w:numPr>
                                <w:ilvl w:val="0"/>
                                <w:numId w:val="10"/>
                              </w:numPr>
                              <w:spacing w:after="0"/>
                              <w:rPr>
                                <w:rFonts w:eastAsiaTheme="minorEastAsia" w:cs="Arial"/>
                                <w:iCs/>
                              </w:rPr>
                            </w:pPr>
                            <w:r w:rsidRPr="005030D8">
                              <w:rPr>
                                <w:rFonts w:eastAsiaTheme="minorEastAsia" w:cs="Arial"/>
                                <w:iCs/>
                              </w:rPr>
                              <w:t>For connected mode in the serving cell and idle mode in camped cell and neighbour cells, it is feasible from RAN1 point of view to use NSSS on an anchor carrier for RRM measurement</w:t>
                            </w:r>
                          </w:p>
                          <w:p w:rsidR="00653990" w:rsidRPr="005030D8" w:rsidRDefault="00653990" w:rsidP="00CF555C">
                            <w:pPr>
                              <w:numPr>
                                <w:ilvl w:val="1"/>
                                <w:numId w:val="10"/>
                              </w:numPr>
                              <w:spacing w:after="0"/>
                              <w:rPr>
                                <w:rFonts w:eastAsiaTheme="minorEastAsia" w:cs="Arial"/>
                                <w:iCs/>
                              </w:rPr>
                            </w:pPr>
                            <w:r w:rsidRPr="005030D8">
                              <w:rPr>
                                <w:rFonts w:eastAsiaTheme="minorEastAsia" w:cs="Arial"/>
                                <w:iCs/>
                              </w:rPr>
                              <w:t>RAN4 are requested to consider if NSSS is a suitable transmission</w:t>
                            </w:r>
                          </w:p>
                          <w:p w:rsidR="00653990" w:rsidRPr="005030D8" w:rsidRDefault="00653990" w:rsidP="00CF555C">
                            <w:pPr>
                              <w:numPr>
                                <w:ilvl w:val="1"/>
                                <w:numId w:val="10"/>
                              </w:numPr>
                              <w:spacing w:after="0"/>
                              <w:rPr>
                                <w:rFonts w:eastAsiaTheme="minorEastAsia" w:cs="Arial"/>
                                <w:iCs/>
                              </w:rPr>
                            </w:pPr>
                            <w:r w:rsidRPr="005030D8">
                              <w:rPr>
                                <w:rFonts w:eastAsiaTheme="minorEastAsia" w:cs="Arial"/>
                                <w:iCs/>
                              </w:rPr>
                              <w:t>How to use, i.e. if and/or under what circumstances to combine NRS with NSSS depend on RAN4 study</w:t>
                            </w:r>
                          </w:p>
                          <w:p w:rsidR="00653990" w:rsidRDefault="0065399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5.85pt;margin-top:34.6pt;width:438.3pt;height:97.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">
                <v:textbox>
                  <w:txbxContent>
                    <w:p w:rsidR="00653990" w:rsidRDefault="00653990" w:rsidP="00653990">
                      <w:pPr>
                        <w:rPr>
                          <w:rFonts w:eastAsiaTheme="minorEastAsia" w:cs="Arial"/>
                          <w:iCs/>
                        </w:rPr>
                      </w:pPr>
                      <w:r>
                        <w:rPr>
                          <w:rFonts w:cs="Arial" w:hint="eastAsia"/>
                          <w:iCs/>
                          <w:lang w:eastAsia="ko-KR"/>
                        </w:rPr>
                        <w:t xml:space="preserve">RAN1 </w:t>
                      </w:r>
                      <w:r>
                        <w:rPr>
                          <w:rFonts w:eastAsiaTheme="minorEastAsia" w:cs="Arial" w:hint="eastAsia"/>
                          <w:iCs/>
                        </w:rPr>
                        <w:t>discussed narrowband measurement accuracy enhancement and reached the following agreement,</w:t>
                      </w:r>
                    </w:p>
                    <w:p w:rsidR="00653990" w:rsidRPr="005030D8" w:rsidRDefault="00653990" w:rsidP="00CF555C">
                      <w:pPr>
                        <w:numPr>
                          <w:ilvl w:val="0"/>
                          <w:numId w:val="10"/>
                        </w:numPr>
                        <w:spacing w:after="0"/>
                        <w:rPr>
                          <w:rFonts w:eastAsiaTheme="minorEastAsia" w:cs="Arial"/>
                          <w:iCs/>
                        </w:rPr>
                      </w:pPr>
                      <w:r w:rsidRPr="005030D8">
                        <w:rPr>
                          <w:rFonts w:eastAsiaTheme="minorEastAsia" w:cs="Arial"/>
                          <w:iCs/>
                        </w:rPr>
                        <w:t>For connected mode in the serving cell and idle mode in camped cell and neighbour cells, it is feasible from RAN1 point of view to use NSSS on an anchor carrier for RRM measurement</w:t>
                      </w:r>
                    </w:p>
                    <w:p w:rsidR="00653990" w:rsidRPr="005030D8" w:rsidRDefault="00653990" w:rsidP="00CF555C">
                      <w:pPr>
                        <w:numPr>
                          <w:ilvl w:val="1"/>
                          <w:numId w:val="10"/>
                        </w:numPr>
                        <w:spacing w:after="0"/>
                        <w:rPr>
                          <w:rFonts w:eastAsiaTheme="minorEastAsia" w:cs="Arial"/>
                          <w:iCs/>
                        </w:rPr>
                      </w:pPr>
                      <w:r w:rsidRPr="005030D8">
                        <w:rPr>
                          <w:rFonts w:eastAsiaTheme="minorEastAsia" w:cs="Arial"/>
                          <w:iCs/>
                        </w:rPr>
                        <w:t>RAN4 are requested to consider if NSSS is a suitable transmission</w:t>
                      </w:r>
                    </w:p>
                    <w:p w:rsidR="00653990" w:rsidRPr="005030D8" w:rsidRDefault="00653990" w:rsidP="00CF555C">
                      <w:pPr>
                        <w:numPr>
                          <w:ilvl w:val="1"/>
                          <w:numId w:val="10"/>
                        </w:numPr>
                        <w:spacing w:after="0"/>
                        <w:rPr>
                          <w:rFonts w:eastAsiaTheme="minorEastAsia" w:cs="Arial"/>
                          <w:iCs/>
                        </w:rPr>
                      </w:pPr>
                      <w:r w:rsidRPr="005030D8">
                        <w:rPr>
                          <w:rFonts w:eastAsiaTheme="minorEastAsia" w:cs="Arial"/>
                          <w:iCs/>
                        </w:rPr>
                        <w:t>How to use, i.e. if and/or under what circumstances to combine NRS with NSSS depend on RAN4 study</w:t>
                      </w:r>
                    </w:p>
                    <w:p w:rsidR="00653990" w:rsidRDefault="00653990"/>
                  </w:txbxContent>
                </v:textbox>
                <w10:wrap type="square" anchorx="margin"/>
              </v:shape>
            </w:pict>
          </mc:Fallback>
        </mc:AlternateContent>
      </w:r>
      <w:r w:rsidR="00A70FBF">
        <w:rPr>
          <w:sz w:val="22"/>
          <w:lang w:val="en-CA"/>
        </w:rPr>
        <w:t>During</w:t>
      </w:r>
      <w:r w:rsidR="00A70FBF" w:rsidRPr="00A70FBF">
        <w:rPr>
          <w:sz w:val="22"/>
          <w:lang w:val="en-CA"/>
        </w:rPr>
        <w:t xml:space="preserve"> the </w:t>
      </w:r>
      <w:r w:rsidR="00A70FBF">
        <w:rPr>
          <w:sz w:val="22"/>
          <w:lang w:val="en-CA"/>
        </w:rPr>
        <w:t>RAN4#83 meeting RAN4 received an LS from RAN1 on improvements of NB</w:t>
      </w:r>
      <w:r>
        <w:rPr>
          <w:sz w:val="22"/>
          <w:lang w:val="en-CA"/>
        </w:rPr>
        <w:t>-IoT</w:t>
      </w:r>
      <w:r w:rsidR="00A70FBF">
        <w:rPr>
          <w:sz w:val="22"/>
          <w:lang w:val="en-CA"/>
        </w:rPr>
        <w:t xml:space="preserve"> measurement accuracy. In the LS the following is stated:</w:t>
      </w:r>
    </w:p>
    <w:p w:rsidR="00A70FBF" w:rsidRDefault="00653990" w:rsidP="00A70FBF">
      <w:pPr>
        <w:rPr>
          <w:sz w:val="22"/>
        </w:rPr>
      </w:pPr>
      <w:r>
        <w:rPr>
          <w:sz w:val="22"/>
        </w:rPr>
        <w:t>Moreover the following action is expected from RAN4:</w:t>
      </w:r>
    </w:p>
    <w:p w:rsidR="00653990" w:rsidRDefault="00653990" w:rsidP="00A70FBF">
      <w:pPr>
        <w:rPr>
          <w:sz w:val="22"/>
        </w:rPr>
      </w:pPr>
      <w:r w:rsidRPr="00653990">
        <w:rPr>
          <w:noProof/>
          <w:sz w:val="22"/>
          <w:lang w:val="en-US"/>
        </w:rPr>
        <mc:AlternateContent>
          <mc:Choice Requires="wps">
            <w:drawing>
              <wp:anchor distT="45720" distB="45720" distL="114300" distR="114300" simplePos="0" relativeHeight="251661312" behindDoc="0" locked="0" layoutInCell="1" allowOverlap="1">
                <wp:simplePos x="0" y="0"/>
                <wp:positionH relativeFrom="margin">
                  <wp:posOffset>201295</wp:posOffset>
                </wp:positionH>
                <wp:positionV relativeFrom="paragraph">
                  <wp:posOffset>82550</wp:posOffset>
                </wp:positionV>
                <wp:extent cx="5537200" cy="438785"/>
                <wp:effectExtent l="0" t="0" r="25400" b="1841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7200" cy="438785"/>
                        </a:xfrm>
                        <a:prstGeom prst="rect">
                          <a:avLst/>
                        </a:prstGeom>
                        <a:solidFill>
                          <a:srgbClr val="FFFFFF"/>
                        </a:solidFill>
                        <a:ln w="9525">
                          <a:solidFill>
                            <a:srgbClr val="000000"/>
                          </a:solidFill>
                          <a:miter lim="800000"/>
                          <a:headEnd/>
                          <a:tailEnd/>
                        </a:ln>
                      </wps:spPr>
                      <wps:txbx>
                        <w:txbxContent>
                          <w:p w:rsidR="00653990" w:rsidRPr="00653990" w:rsidRDefault="00653990">
                            <w:pPr>
                              <w:rPr>
                                <w:rFonts w:eastAsiaTheme="minorEastAsia" w:cs="Arial"/>
                                <w:iCs/>
                              </w:rPr>
                            </w:pPr>
                            <w:r>
                              <w:rPr>
                                <w:rFonts w:cs="Arial"/>
                                <w:iCs/>
                              </w:rPr>
                              <w:t>RAN</w:t>
                            </w:r>
                            <w:r>
                              <w:rPr>
                                <w:rFonts w:cs="Arial" w:hint="eastAsia"/>
                                <w:iCs/>
                                <w:lang w:eastAsia="ko-KR"/>
                              </w:rPr>
                              <w:t>1</w:t>
                            </w:r>
                            <w:r>
                              <w:rPr>
                                <w:rFonts w:cs="Arial"/>
                                <w:iCs/>
                              </w:rPr>
                              <w:t xml:space="preserve"> respectfully </w:t>
                            </w:r>
                            <w:r>
                              <w:rPr>
                                <w:rFonts w:eastAsiaTheme="minorEastAsia" w:cs="Arial" w:hint="eastAsia"/>
                                <w:iCs/>
                              </w:rPr>
                              <w:t>requests</w:t>
                            </w:r>
                            <w:r>
                              <w:rPr>
                                <w:rFonts w:cs="Arial"/>
                                <w:iCs/>
                              </w:rPr>
                              <w:t xml:space="preserve"> RAN</w:t>
                            </w:r>
                            <w:r>
                              <w:rPr>
                                <w:rFonts w:eastAsiaTheme="minorEastAsia" w:cs="Arial" w:hint="eastAsia"/>
                                <w:iCs/>
                              </w:rPr>
                              <w:t xml:space="preserve">4 to </w:t>
                            </w:r>
                            <w:r w:rsidRPr="00654434">
                              <w:rPr>
                                <w:rFonts w:cs="Arial"/>
                                <w:iCs/>
                              </w:rPr>
                              <w:t>provide feedback on if NSSS is a suitable transmission for RRM measurement, and to inform RAN1 if and/or under what circumstances to combine NRS with NSSS.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5.85pt;margin-top:6.5pt;width:436pt;height:34.5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">
                <v:textbox>
                  <w:txbxContent>
                    <w:p w:rsidR="00653990" w:rsidRPr="00653990" w:rsidRDefault="00653990">
                      <w:pPr>
                        <w:rPr>
                          <w:rFonts w:eastAsiaTheme="minorEastAsia" w:cs="Arial"/>
                          <w:iCs/>
                        </w:rPr>
                      </w:pPr>
                      <w:r>
                        <w:rPr>
                          <w:rFonts w:cs="Arial"/>
                          <w:iCs/>
                        </w:rPr>
                        <w:t>RAN</w:t>
                      </w:r>
                      <w:r>
                        <w:rPr>
                          <w:rFonts w:cs="Arial" w:hint="eastAsia"/>
                          <w:iCs/>
                          <w:lang w:eastAsia="ko-KR"/>
                        </w:rPr>
                        <w:t>1</w:t>
                      </w:r>
                      <w:r>
                        <w:rPr>
                          <w:rFonts w:cs="Arial"/>
                          <w:iCs/>
                        </w:rPr>
                        <w:t xml:space="preserve"> respectfully </w:t>
                      </w:r>
                      <w:r>
                        <w:rPr>
                          <w:rFonts w:eastAsiaTheme="minorEastAsia" w:cs="Arial" w:hint="eastAsia"/>
                          <w:iCs/>
                        </w:rPr>
                        <w:t>requests</w:t>
                      </w:r>
                      <w:r>
                        <w:rPr>
                          <w:rFonts w:cs="Arial"/>
                          <w:iCs/>
                        </w:rPr>
                        <w:t xml:space="preserve"> RAN</w:t>
                      </w:r>
                      <w:r>
                        <w:rPr>
                          <w:rFonts w:eastAsiaTheme="minorEastAsia" w:cs="Arial" w:hint="eastAsia"/>
                          <w:iCs/>
                        </w:rPr>
                        <w:t xml:space="preserve">4 to </w:t>
                      </w:r>
                      <w:r w:rsidRPr="00654434">
                        <w:rPr>
                          <w:rFonts w:cs="Arial"/>
                          <w:iCs/>
                        </w:rPr>
                        <w:t>provide feedback on if NSSS is a suitable transmission for RRM measurement, and to inform RAN1 if and/or under what circumstances to combine NRS with NSSS.</w:t>
                      </w:r>
                    </w:p>
                  </w:txbxContent>
                </v:textbox>
                <w10:wrap type="square" anchorx="margin"/>
              </v:shape>
            </w:pict>
          </mc:Fallback>
        </mc:AlternateContent>
      </w:r>
    </w:p>
    <w:p w:rsidR="00653990" w:rsidRDefault="00653990" w:rsidP="00A70FBF">
      <w:pPr>
        <w:rPr>
          <w:sz w:val="22"/>
        </w:rPr>
      </w:pPr>
    </w:p>
    <w:p w:rsidR="00653990" w:rsidRDefault="00653990" w:rsidP="00A70FBF">
      <w:pPr>
        <w:rPr>
          <w:rFonts w:cs="Arial"/>
          <w:iCs/>
        </w:rPr>
      </w:pPr>
    </w:p>
    <w:p w:rsidR="00A70FBF" w:rsidRPr="00653990" w:rsidRDefault="00653990" w:rsidP="00A70FBF">
      <w:pPr>
        <w:rPr>
          <w:rFonts w:cs="Arial"/>
          <w:iCs/>
          <w:sz w:val="22"/>
        </w:rPr>
      </w:pPr>
      <w:r>
        <w:rPr>
          <w:rFonts w:cs="Arial"/>
          <w:iCs/>
          <w:sz w:val="22"/>
        </w:rPr>
        <w:t>In the current</w:t>
      </w:r>
      <w:r w:rsidRPr="00653990">
        <w:rPr>
          <w:rFonts w:cs="Arial"/>
          <w:iCs/>
          <w:sz w:val="22"/>
        </w:rPr>
        <w:t xml:space="preserve"> contribution</w:t>
      </w:r>
      <w:r>
        <w:rPr>
          <w:rFonts w:cs="Arial"/>
          <w:iCs/>
          <w:sz w:val="22"/>
        </w:rPr>
        <w:t xml:space="preserve">, we look back at the RAN4 work done with respect to NB-IoT measurement accuracy, provide comparative simulations for NSSS versus NRS-based received power measurements, and propose a response to RAN1. </w:t>
      </w:r>
    </w:p>
    <w:p w:rsidR="00661D60" w:rsidRDefault="00653990" w:rsidP="00653990">
      <w:pPr>
        <w:pStyle w:val="Heading1"/>
        <w:ind w:left="431" w:hanging="431"/>
        <w:rPr>
          <w:szCs w:val="36"/>
          <w:lang w:val="en-CA"/>
        </w:rPr>
      </w:pPr>
      <w:r>
        <w:rPr>
          <w:szCs w:val="36"/>
          <w:lang w:val="en-CA"/>
        </w:rPr>
        <w:t>NB-IoT measurement accuracy</w:t>
      </w:r>
    </w:p>
    <w:p w:rsidR="00653990" w:rsidRDefault="00653990" w:rsidP="00481F59">
      <w:pPr>
        <w:jc w:val="both"/>
        <w:rPr>
          <w:sz w:val="22"/>
          <w:lang w:val="en-CA"/>
        </w:rPr>
      </w:pPr>
      <w:r w:rsidRPr="00653990">
        <w:rPr>
          <w:sz w:val="22"/>
          <w:lang w:val="en-CA"/>
        </w:rPr>
        <w:t xml:space="preserve">Already in the initial </w:t>
      </w:r>
      <w:r>
        <w:rPr>
          <w:sz w:val="22"/>
          <w:lang w:val="en-CA"/>
        </w:rPr>
        <w:t>work on NB-IoT the RAN4 group identified that one of the major problems at low SINR is that unless enough REs to combine coherently to reduce bias</w:t>
      </w:r>
      <w:r w:rsidR="00574656">
        <w:rPr>
          <w:sz w:val="22"/>
          <w:lang w:val="en-CA"/>
        </w:rPr>
        <w:t xml:space="preserve"> are available, the noise will dominate over the wanted signal. Below some SINR operation point, the estimator will essentially only detect the noise power and more or less be blind to the wanted signal. In fading conditions this typically looks like the relative variance of the NRSRP estimate to the noise power decreases compared to at higher SINR, where the propagation conditions are reflected in the estimate. It is also typical with a “slap stick”-like curve when normalizing the NRSRP estimate with the noise power. At e</w:t>
      </w:r>
      <w:r w:rsidR="00500BB3">
        <w:rPr>
          <w:sz w:val="22"/>
          <w:lang w:val="en-CA"/>
        </w:rPr>
        <w:t xml:space="preserve">ven lower SINR the NRSRP will </w:t>
      </w:r>
      <w:r w:rsidR="00574656">
        <w:rPr>
          <w:sz w:val="22"/>
          <w:lang w:val="en-CA"/>
        </w:rPr>
        <w:t xml:space="preserve">reflect noise power </w:t>
      </w:r>
      <w:r w:rsidR="00500BB3">
        <w:rPr>
          <w:sz w:val="22"/>
          <w:lang w:val="en-CA"/>
        </w:rPr>
        <w:t xml:space="preserve">only </w:t>
      </w:r>
      <w:r w:rsidR="00574656">
        <w:rPr>
          <w:sz w:val="22"/>
          <w:lang w:val="en-CA"/>
        </w:rPr>
        <w:t>and</w:t>
      </w:r>
      <w:r w:rsidR="00500BB3">
        <w:rPr>
          <w:sz w:val="22"/>
          <w:lang w:val="en-CA"/>
        </w:rPr>
        <w:t xml:space="preserve"> will</w:t>
      </w:r>
      <w:r w:rsidR="00574656">
        <w:rPr>
          <w:sz w:val="22"/>
          <w:lang w:val="en-CA"/>
        </w:rPr>
        <w:t xml:space="preserve"> display a variance that is related to the </w:t>
      </w:r>
      <w:r w:rsidR="00500BB3">
        <w:rPr>
          <w:sz w:val="22"/>
          <w:lang w:val="en-CA"/>
        </w:rPr>
        <w:t>noise process, not the propagation channel</w:t>
      </w:r>
      <w:r w:rsidR="00574656">
        <w:rPr>
          <w:sz w:val="22"/>
          <w:lang w:val="en-CA"/>
        </w:rPr>
        <w:t>.</w:t>
      </w:r>
      <w:r w:rsidR="00500BB3">
        <w:rPr>
          <w:sz w:val="22"/>
          <w:lang w:val="en-CA"/>
        </w:rPr>
        <w:t xml:space="preserve"> Hence it was understood by the RAN4 group that for operation at low SINR it is essential to have as many REs available as possible to reduce bias and to maintain observability of the wanted signal.</w:t>
      </w:r>
    </w:p>
    <w:p w:rsidR="00500BB3" w:rsidRDefault="00500BB3" w:rsidP="00481F59">
      <w:pPr>
        <w:jc w:val="both"/>
        <w:rPr>
          <w:sz w:val="22"/>
          <w:lang w:val="en-CA"/>
        </w:rPr>
      </w:pPr>
      <w:r>
        <w:rPr>
          <w:sz w:val="22"/>
          <w:lang w:val="en-CA"/>
        </w:rPr>
        <w:t xml:space="preserve">From work on eMTC it had been found that using two consecutive subframes that carry CRS, one could perform a coherent summation that suppressed noise by – theoretically – </w:t>
      </w:r>
      <w:r w:rsidR="0025608B" w:rsidRPr="0025608B">
        <w:rPr>
          <w:sz w:val="22"/>
          <w:lang w:val="en-CA"/>
        </w:rPr>
        <w:t>19</w:t>
      </w:r>
      <w:r>
        <w:rPr>
          <w:sz w:val="22"/>
          <w:lang w:val="en-CA"/>
        </w:rPr>
        <w:t xml:space="preserve"> dB, which would provide observability of the wanted si</w:t>
      </w:r>
      <w:r w:rsidR="0025608B">
        <w:rPr>
          <w:sz w:val="22"/>
          <w:lang w:val="en-CA"/>
        </w:rPr>
        <w:t>gnal at as low SINR</w:t>
      </w:r>
      <w:r>
        <w:rPr>
          <w:sz w:val="22"/>
          <w:lang w:val="en-CA"/>
        </w:rPr>
        <w:t xml:space="preserve"> as -15 to -20dB. It was also observed that NSSS carry the same or higher number of REs in a single subframe, and hence would be a good candidate to do mobility measurements on in NB-IoT, and would allow </w:t>
      </w:r>
      <w:r w:rsidR="008E63F7">
        <w:rPr>
          <w:sz w:val="22"/>
          <w:lang w:val="en-CA"/>
        </w:rPr>
        <w:t>observability of the NB cell down to SINR in the range of -15 to -20dB.</w:t>
      </w:r>
    </w:p>
    <w:p w:rsidR="006D35DA" w:rsidRDefault="008E63F7" w:rsidP="00481F59">
      <w:pPr>
        <w:jc w:val="both"/>
        <w:rPr>
          <w:sz w:val="22"/>
          <w:lang w:val="en-CA"/>
        </w:rPr>
      </w:pPr>
      <w:r>
        <w:rPr>
          <w:sz w:val="22"/>
          <w:lang w:val="en-CA"/>
        </w:rPr>
        <w:t xml:space="preserve">RAN4 sent an LS to RAN1 </w:t>
      </w:r>
      <w:r>
        <w:rPr>
          <w:sz w:val="22"/>
          <w:lang w:val="en-CA"/>
        </w:rPr>
        <w:fldChar w:fldCharType="begin"/>
      </w:r>
      <w:r>
        <w:rPr>
          <w:sz w:val="22"/>
          <w:lang w:val="en-CA"/>
        </w:rPr>
        <w:instrText xml:space="preserve"> REF _Ref489908904 \r \h </w:instrText>
      </w:r>
      <w:r w:rsidR="00481F59">
        <w:rPr>
          <w:sz w:val="22"/>
          <w:lang w:val="en-CA"/>
        </w:rPr>
        <w:instrText xml:space="preserve"> \* MERGEFORMAT </w:instrText>
      </w:r>
      <w:r>
        <w:rPr>
          <w:sz w:val="22"/>
          <w:lang w:val="en-CA"/>
        </w:rPr>
      </w:r>
      <w:r>
        <w:rPr>
          <w:sz w:val="22"/>
          <w:lang w:val="en-CA"/>
        </w:rPr>
        <w:fldChar w:fldCharType="separate"/>
      </w:r>
      <w:r>
        <w:rPr>
          <w:sz w:val="22"/>
          <w:lang w:val="en-CA"/>
        </w:rPr>
        <w:t>[2]</w:t>
      </w:r>
      <w:r>
        <w:rPr>
          <w:sz w:val="22"/>
          <w:lang w:val="en-CA"/>
        </w:rPr>
        <w:fldChar w:fldCharType="end"/>
      </w:r>
      <w:r>
        <w:rPr>
          <w:sz w:val="22"/>
          <w:lang w:val="en-CA"/>
        </w:rPr>
        <w:t xml:space="preserve">, asking whether the UE could assume the same power level on NSSS as on NRS, which would be essential for the mobility when using NSSS as a proxy for NRS. The response from RAN1 </w:t>
      </w:r>
      <w:r>
        <w:rPr>
          <w:sz w:val="22"/>
          <w:lang w:val="en-CA"/>
        </w:rPr>
        <w:fldChar w:fldCharType="begin"/>
      </w:r>
      <w:r>
        <w:rPr>
          <w:sz w:val="22"/>
          <w:lang w:val="en-CA"/>
        </w:rPr>
        <w:instrText xml:space="preserve"> REF _Ref489909002 \r \h </w:instrText>
      </w:r>
      <w:r w:rsidR="00481F59">
        <w:rPr>
          <w:sz w:val="22"/>
          <w:lang w:val="en-CA"/>
        </w:rPr>
        <w:instrText xml:space="preserve"> \* MERGEFORMAT </w:instrText>
      </w:r>
      <w:r>
        <w:rPr>
          <w:sz w:val="22"/>
          <w:lang w:val="en-CA"/>
        </w:rPr>
      </w:r>
      <w:r>
        <w:rPr>
          <w:sz w:val="22"/>
          <w:lang w:val="en-CA"/>
        </w:rPr>
        <w:fldChar w:fldCharType="separate"/>
      </w:r>
      <w:r>
        <w:rPr>
          <w:sz w:val="22"/>
          <w:lang w:val="en-CA"/>
        </w:rPr>
        <w:t>[3]</w:t>
      </w:r>
      <w:r>
        <w:rPr>
          <w:sz w:val="22"/>
          <w:lang w:val="en-CA"/>
        </w:rPr>
        <w:fldChar w:fldCharType="end"/>
      </w:r>
      <w:r>
        <w:rPr>
          <w:sz w:val="22"/>
          <w:lang w:val="en-CA"/>
        </w:rPr>
        <w:t xml:space="preserve"> was that the UE could not make such assumption. RAN4 discussed whether anyway </w:t>
      </w:r>
      <w:r w:rsidR="004B1C9C">
        <w:rPr>
          <w:sz w:val="22"/>
          <w:lang w:val="en-CA"/>
        </w:rPr>
        <w:t xml:space="preserve">to </w:t>
      </w:r>
      <w:r>
        <w:rPr>
          <w:sz w:val="22"/>
          <w:lang w:val="en-CA"/>
        </w:rPr>
        <w:t>define side conditions in</w:t>
      </w:r>
      <w:r w:rsidR="004B1C9C">
        <w:rPr>
          <w:sz w:val="22"/>
          <w:lang w:val="en-CA"/>
        </w:rPr>
        <w:t xml:space="preserve"> TS 36.133 that would state that the measurement requirements shall apply provided that NSSS </w:t>
      </w:r>
      <w:r w:rsidR="004B1C9C">
        <w:rPr>
          <w:sz w:val="22"/>
          <w:lang w:val="en-CA"/>
        </w:rPr>
        <w:lastRenderedPageBreak/>
        <w:t>is sent with the same power as NRS. One modem company had concerns that it would impose constraints for the network configuration, and with that RAN4 gave up the idea on using NSSS.</w:t>
      </w:r>
    </w:p>
    <w:p w:rsidR="00481F59" w:rsidRDefault="00481F59" w:rsidP="00481F59">
      <w:pPr>
        <w:jc w:val="both"/>
        <w:rPr>
          <w:sz w:val="22"/>
          <w:lang w:val="en-CA"/>
        </w:rPr>
      </w:pPr>
      <w:r>
        <w:rPr>
          <w:b/>
          <w:sz w:val="22"/>
          <w:lang w:val="en-CA"/>
        </w:rPr>
        <w:t>Observation 1:</w:t>
      </w:r>
      <w:r>
        <w:rPr>
          <w:sz w:val="22"/>
          <w:lang w:val="en-CA"/>
        </w:rPr>
        <w:t xml:space="preserve"> Already in the initial work on NB-IoT RAN4 had reached consensus on that it would be beneficial to use NSSS as proxy for NRS, as it would allow observability of the NB cell at lower SINR than if using NRS only.</w:t>
      </w:r>
    </w:p>
    <w:p w:rsidR="00F5395E" w:rsidRDefault="00AC79A8" w:rsidP="006A277D">
      <w:pPr>
        <w:pStyle w:val="Heading1"/>
        <w:rPr>
          <w:lang w:val="en-CA"/>
        </w:rPr>
      </w:pPr>
      <w:r>
        <w:rPr>
          <w:lang w:val="en-CA"/>
        </w:rPr>
        <w:t>NB-IoT measurement accuracy simulations</w:t>
      </w:r>
    </w:p>
    <w:p w:rsidR="00913F91" w:rsidRDefault="00AC79A8" w:rsidP="00AC79A8">
      <w:pPr>
        <w:jc w:val="both"/>
        <w:rPr>
          <w:sz w:val="22"/>
          <w:lang w:val="en-CA"/>
        </w:rPr>
      </w:pPr>
      <w:r w:rsidRPr="00AC79A8">
        <w:rPr>
          <w:sz w:val="22"/>
          <w:lang w:val="en-CA"/>
        </w:rPr>
        <w:t>Since the RAN4 work</w:t>
      </w:r>
      <w:r>
        <w:rPr>
          <w:sz w:val="22"/>
          <w:lang w:val="en-CA"/>
        </w:rPr>
        <w:t xml:space="preserve"> was carried out in parallel with the RAN1 work it depended on, details changed from meeting to meeting and revisiting earlier contributions on e.g. measurement accuracy can be both amusing and confusing. For instance, the subframes which one could assume carried NRS changed during the simulation work, and in the end settled to subframes 0 </w:t>
      </w:r>
      <w:r w:rsidR="00731878">
        <w:rPr>
          <w:sz w:val="22"/>
          <w:lang w:val="en-CA"/>
        </w:rPr>
        <w:t>4</w:t>
      </w:r>
      <w:r>
        <w:rPr>
          <w:sz w:val="22"/>
          <w:lang w:val="en-CA"/>
        </w:rPr>
        <w:t xml:space="preserve"> 9 in odd numbered radio frames and 0 </w:t>
      </w:r>
      <w:r w:rsidR="00731878">
        <w:rPr>
          <w:sz w:val="22"/>
          <w:lang w:val="en-CA"/>
        </w:rPr>
        <w:t>4</w:t>
      </w:r>
      <w:r>
        <w:rPr>
          <w:sz w:val="22"/>
          <w:lang w:val="en-CA"/>
        </w:rPr>
        <w:t xml:space="preserve"> in even numbered radio frames (5 being reserved for NPSS and 9 being reserved for NSSS). </w:t>
      </w:r>
      <w:r w:rsidR="00731878">
        <w:rPr>
          <w:sz w:val="22"/>
          <w:lang w:val="en-CA"/>
        </w:rPr>
        <w:t>Hence in the end, there were two adjacent subframes carrying NRS per two radio frames, i.e. subframe 9 in odd numbered radio frame followed by subframe 0 in even numbered radio frame.</w:t>
      </w:r>
      <w:r w:rsidR="00913F91">
        <w:rPr>
          <w:sz w:val="22"/>
          <w:lang w:val="en-CA"/>
        </w:rPr>
        <w:t xml:space="preserve"> Noticeably this is the same frequency at which NSSS occur.</w:t>
      </w:r>
    </w:p>
    <w:p w:rsidR="00817D11" w:rsidRDefault="00913F91" w:rsidP="00913F91">
      <w:pPr>
        <w:jc w:val="both"/>
        <w:rPr>
          <w:sz w:val="22"/>
          <w:lang w:val="en-CA"/>
        </w:rPr>
      </w:pPr>
      <w:r>
        <w:rPr>
          <w:sz w:val="22"/>
          <w:lang w:val="en-CA"/>
        </w:rPr>
        <w:t>In order to compare mobility measurement accuracy when using NSSS and NRS, respectively, we have conducted a new set of simulations where we compare coherent averaging of single NSSS subframe with coherent averaging of two adjacent subframes with NRS. B</w:t>
      </w:r>
      <w:r w:rsidR="00DD193C">
        <w:rPr>
          <w:sz w:val="22"/>
          <w:lang w:val="en-CA"/>
        </w:rPr>
        <w:t>oth occur once per 20</w:t>
      </w:r>
      <w:r>
        <w:rPr>
          <w:sz w:val="22"/>
          <w:lang w:val="en-CA"/>
        </w:rPr>
        <w:t>ms, hence the number</w:t>
      </w:r>
      <w:r w:rsidR="00DD193C">
        <w:rPr>
          <w:sz w:val="22"/>
          <w:lang w:val="en-CA"/>
        </w:rPr>
        <w:t>s</w:t>
      </w:r>
      <w:r>
        <w:rPr>
          <w:sz w:val="22"/>
          <w:lang w:val="en-CA"/>
        </w:rPr>
        <w:t xml:space="preserve"> of non-coherent averages (L1 filtering) </w:t>
      </w:r>
      <w:r w:rsidR="00DD193C">
        <w:rPr>
          <w:sz w:val="22"/>
          <w:lang w:val="en-CA"/>
        </w:rPr>
        <w:t>per L1 measurement period are</w:t>
      </w:r>
      <w:r>
        <w:rPr>
          <w:sz w:val="22"/>
          <w:lang w:val="en-CA"/>
        </w:rPr>
        <w:t xml:space="preserve"> identical.</w:t>
      </w:r>
      <w:r w:rsidR="00DD193C">
        <w:rPr>
          <w:sz w:val="22"/>
          <w:lang w:val="en-CA"/>
        </w:rPr>
        <w:t xml:space="preserve"> The measurement periods are 800ms for normal coverage and 1600ms for enhanced coverage (defined as SINR ≥ -6 dB and -15 ≤ SINR&lt;-6 dB, respectively). Residual carrier frequency offset is fixed to 50Hz in the simulations.</w:t>
      </w:r>
    </w:p>
    <w:p w:rsidR="00DD193C" w:rsidRDefault="00DD193C" w:rsidP="00913F91">
      <w:pPr>
        <w:jc w:val="both"/>
        <w:rPr>
          <w:sz w:val="22"/>
          <w:lang w:val="en-CA"/>
        </w:rPr>
      </w:pPr>
      <w:r>
        <w:rPr>
          <w:sz w:val="22"/>
          <w:lang w:val="en-CA"/>
        </w:rPr>
        <w:t xml:space="preserve">The results which are provided for AWGN, ETU 1Hz, EPA 1Hz, ETU 30Hz and EPA 5Hz are shown in Appendix. </w:t>
      </w:r>
      <w:r w:rsidR="00DD672B">
        <w:rPr>
          <w:sz w:val="22"/>
          <w:lang w:val="en-CA"/>
        </w:rPr>
        <w:t xml:space="preserve">In the plots, </w:t>
      </w:r>
      <w:r>
        <w:rPr>
          <w:sz w:val="22"/>
          <w:lang w:val="en-CA"/>
        </w:rPr>
        <w:t>SSRP stands for (</w:t>
      </w:r>
      <w:r w:rsidR="00DD672B">
        <w:rPr>
          <w:sz w:val="22"/>
          <w:lang w:val="en-CA"/>
        </w:rPr>
        <w:t>N</w:t>
      </w:r>
      <w:r>
        <w:rPr>
          <w:sz w:val="22"/>
          <w:lang w:val="en-CA"/>
        </w:rPr>
        <w:t xml:space="preserve">arrowband </w:t>
      </w:r>
      <w:r w:rsidR="00DD672B">
        <w:rPr>
          <w:sz w:val="22"/>
          <w:lang w:val="en-CA"/>
        </w:rPr>
        <w:t>S</w:t>
      </w:r>
      <w:r>
        <w:rPr>
          <w:sz w:val="22"/>
          <w:lang w:val="en-CA"/>
        </w:rPr>
        <w:t xml:space="preserve">econdary) Synchronization Signal Received Power and RSRP stands </w:t>
      </w:r>
      <w:r w:rsidR="00DD672B">
        <w:rPr>
          <w:sz w:val="22"/>
          <w:lang w:val="en-CA"/>
        </w:rPr>
        <w:t xml:space="preserve">for (Narrowband) Reference Signal Received Power. </w:t>
      </w:r>
      <w:r>
        <w:rPr>
          <w:sz w:val="22"/>
          <w:lang w:val="en-CA"/>
        </w:rPr>
        <w:t>From the results one can observe the following:</w:t>
      </w:r>
    </w:p>
    <w:p w:rsidR="00DD193C" w:rsidRDefault="00DD193C" w:rsidP="00DD193C">
      <w:pPr>
        <w:jc w:val="both"/>
        <w:rPr>
          <w:sz w:val="22"/>
          <w:lang w:val="en-CA"/>
        </w:rPr>
      </w:pPr>
      <w:r w:rsidRPr="00DD193C">
        <w:rPr>
          <w:b/>
          <w:sz w:val="22"/>
          <w:lang w:val="en-CA"/>
        </w:rPr>
        <w:t>Observation 2:</w:t>
      </w:r>
      <w:r>
        <w:rPr>
          <w:b/>
          <w:sz w:val="22"/>
          <w:lang w:val="en-CA"/>
        </w:rPr>
        <w:t xml:space="preserve"> </w:t>
      </w:r>
      <w:r>
        <w:rPr>
          <w:sz w:val="22"/>
          <w:lang w:val="en-CA"/>
        </w:rPr>
        <w:t>With same sampling rate of NSSS and NRS-based RP measurements, the variance for NSSS and NRS-based estimators are comparable before the SINR breakpoint is reached (the “slap stick”). In this zone</w:t>
      </w:r>
      <w:r w:rsidR="00DD672B">
        <w:rPr>
          <w:sz w:val="22"/>
          <w:lang w:val="en-CA"/>
        </w:rPr>
        <w:t>,</w:t>
      </w:r>
      <w:r>
        <w:rPr>
          <w:sz w:val="22"/>
          <w:lang w:val="en-CA"/>
        </w:rPr>
        <w:t xml:space="preserve"> it is the variability of the propagation channel that gets reflected in the variance of the RP estimates.</w:t>
      </w:r>
    </w:p>
    <w:p w:rsidR="00DD672B" w:rsidRDefault="00DD193C" w:rsidP="00DD193C">
      <w:pPr>
        <w:jc w:val="both"/>
        <w:rPr>
          <w:sz w:val="22"/>
          <w:lang w:val="en-CA"/>
        </w:rPr>
      </w:pPr>
      <w:r>
        <w:rPr>
          <w:b/>
          <w:sz w:val="22"/>
          <w:lang w:val="en-CA"/>
        </w:rPr>
        <w:t>Observation 3:</w:t>
      </w:r>
      <w:r w:rsidR="00DD672B">
        <w:rPr>
          <w:b/>
          <w:sz w:val="22"/>
          <w:lang w:val="en-CA"/>
        </w:rPr>
        <w:t xml:space="preserve"> </w:t>
      </w:r>
      <w:r w:rsidR="00DD672B">
        <w:rPr>
          <w:sz w:val="22"/>
          <w:lang w:val="en-CA"/>
        </w:rPr>
        <w:t>With same sampling rate of NSSS and NRS-based RP measurements, the SINR breakpoint is significantly lower for the NSSS than for the NRS-based estimator. The NSSS-based estimator can provide corresponding observability of the NB cell at about 7dB lower SINR than the NRS-based estimator.</w:t>
      </w:r>
    </w:p>
    <w:p w:rsidR="00DD193C" w:rsidRDefault="00DD672B" w:rsidP="00DD193C">
      <w:pPr>
        <w:jc w:val="both"/>
        <w:rPr>
          <w:sz w:val="22"/>
          <w:lang w:val="en-CA"/>
        </w:rPr>
      </w:pPr>
      <w:r>
        <w:rPr>
          <w:sz w:val="22"/>
          <w:lang w:val="en-CA"/>
        </w:rPr>
        <w:t xml:space="preserve">Regarding combining NRS and NSSS in the estimation process, </w:t>
      </w:r>
      <w:r w:rsidR="00EB5AF4">
        <w:rPr>
          <w:sz w:val="22"/>
          <w:lang w:val="en-CA"/>
        </w:rPr>
        <w:t>one option would be to coherently combine one NSSS subframe (even radio frame subframe 9) with one NRS subframe (odd radio frame subframe 0), but the theoretical gain would be small: the sensitivity would increase by 0.3 dB (96+8 REs versus 96 REs). Moreover it would require that NSSS and NRS are sent from the same physical antenna ports. Combining the NRS and NSSS-based estimates non-coherently would ruin the sensitivity at low SINR since the SINR breakpoints are different; the sensitivity provided by NSSS-based estimation would get destroyed by the NRS-based estimation. This leads us to the observations:</w:t>
      </w:r>
    </w:p>
    <w:p w:rsidR="00EB5AF4" w:rsidRDefault="00EB5AF4" w:rsidP="00DD193C">
      <w:pPr>
        <w:jc w:val="both"/>
        <w:rPr>
          <w:sz w:val="22"/>
          <w:lang w:val="en-CA"/>
        </w:rPr>
      </w:pPr>
      <w:r>
        <w:rPr>
          <w:b/>
          <w:sz w:val="22"/>
          <w:lang w:val="en-CA"/>
        </w:rPr>
        <w:t>Observation 4:</w:t>
      </w:r>
      <w:r>
        <w:rPr>
          <w:sz w:val="22"/>
          <w:lang w:val="en-CA"/>
        </w:rPr>
        <w:t xml:space="preserve"> Combining NSSS and NRS coherently in the RP estimation would impose restrictions on from which antennas each respective signal is sent, and would provide an insignificant gain.</w:t>
      </w:r>
    </w:p>
    <w:p w:rsidR="00EB5AF4" w:rsidRDefault="00EB5AF4" w:rsidP="00DD193C">
      <w:pPr>
        <w:jc w:val="both"/>
        <w:rPr>
          <w:sz w:val="22"/>
          <w:lang w:val="en-CA"/>
        </w:rPr>
      </w:pPr>
      <w:r>
        <w:rPr>
          <w:b/>
          <w:sz w:val="22"/>
          <w:lang w:val="en-CA"/>
        </w:rPr>
        <w:t>Observation 5:</w:t>
      </w:r>
      <w:r>
        <w:rPr>
          <w:sz w:val="22"/>
          <w:lang w:val="en-CA"/>
        </w:rPr>
        <w:t xml:space="preserve"> Combining NSSS and NRS-based RP estimates non-coherently would destroy the sensitivity provided by sole NSSS-based estimation.</w:t>
      </w:r>
    </w:p>
    <w:p w:rsidR="001A3432" w:rsidRDefault="00B8376A" w:rsidP="001A3432">
      <w:pPr>
        <w:pStyle w:val="Heading1"/>
        <w:rPr>
          <w:lang w:val="en-CA"/>
        </w:rPr>
      </w:pPr>
      <w:r>
        <w:rPr>
          <w:lang w:val="en-CA"/>
        </w:rPr>
        <w:t>Proposed reply to RAN1</w:t>
      </w:r>
    </w:p>
    <w:p w:rsidR="00B8376A" w:rsidRDefault="00B8376A" w:rsidP="00B8376A">
      <w:pPr>
        <w:rPr>
          <w:sz w:val="22"/>
          <w:szCs w:val="22"/>
          <w:lang w:val="en-CA"/>
        </w:rPr>
      </w:pPr>
      <w:r w:rsidRPr="00B8376A">
        <w:rPr>
          <w:sz w:val="22"/>
          <w:szCs w:val="22"/>
          <w:lang w:val="en-CA"/>
        </w:rPr>
        <w:t>Based on the observations above, we propose the following response to RAN1</w:t>
      </w:r>
      <w:r>
        <w:rPr>
          <w:sz w:val="22"/>
          <w:szCs w:val="22"/>
          <w:lang w:val="en-CA"/>
        </w:rPr>
        <w:t>:</w:t>
      </w:r>
    </w:p>
    <w:p w:rsidR="00B8376A" w:rsidRDefault="00B8376A" w:rsidP="00B8376A">
      <w:pPr>
        <w:rPr>
          <w:i/>
          <w:sz w:val="22"/>
          <w:szCs w:val="22"/>
          <w:lang w:val="en-CA"/>
        </w:rPr>
      </w:pPr>
      <w:r>
        <w:rPr>
          <w:i/>
          <w:sz w:val="22"/>
          <w:szCs w:val="22"/>
          <w:lang w:val="en-CA"/>
        </w:rPr>
        <w:t>RAN4 has discussed the feasibility of using NSSS-based estimation of received power, a</w:t>
      </w:r>
      <w:r w:rsidR="00A73107">
        <w:rPr>
          <w:i/>
          <w:sz w:val="22"/>
          <w:szCs w:val="22"/>
          <w:lang w:val="en-CA"/>
        </w:rPr>
        <w:t>nd has reached the following conclusion:</w:t>
      </w:r>
    </w:p>
    <w:p w:rsidR="00A73107" w:rsidRDefault="00A73107" w:rsidP="00CF555C">
      <w:pPr>
        <w:pStyle w:val="ListParagraph"/>
        <w:numPr>
          <w:ilvl w:val="0"/>
          <w:numId w:val="11"/>
        </w:numPr>
        <w:rPr>
          <w:i/>
          <w:sz w:val="22"/>
          <w:szCs w:val="22"/>
          <w:lang w:val="en-CA"/>
        </w:rPr>
      </w:pPr>
      <w:r>
        <w:rPr>
          <w:i/>
          <w:sz w:val="22"/>
          <w:szCs w:val="22"/>
          <w:lang w:val="en-CA"/>
        </w:rPr>
        <w:lastRenderedPageBreak/>
        <w:t>NSSS is a suitable signal for mobility measurements, under the conditions provided by RAN1. With its high density of REs it can support about 7dB increased sensitivity compared to estimation based on NRS.</w:t>
      </w:r>
    </w:p>
    <w:p w:rsidR="00A73107" w:rsidRDefault="00A73107" w:rsidP="00CF555C">
      <w:pPr>
        <w:pStyle w:val="ListParagraph"/>
        <w:numPr>
          <w:ilvl w:val="0"/>
          <w:numId w:val="11"/>
        </w:numPr>
        <w:rPr>
          <w:i/>
          <w:sz w:val="22"/>
          <w:szCs w:val="22"/>
          <w:lang w:val="en-CA"/>
        </w:rPr>
      </w:pPr>
      <w:r>
        <w:rPr>
          <w:i/>
          <w:sz w:val="22"/>
          <w:szCs w:val="22"/>
          <w:lang w:val="en-CA"/>
        </w:rPr>
        <w:t>It is not suitable to combine NSSS and NRS in the estimation, since (a) coherent combination would impose the restriction that both signals are sent from the same physical antennas – and the theoretical gain would be only 0.3dB, and (b) non-coherent combination would lead to that the sensitivity reduces due to the different statistical properties o</w:t>
      </w:r>
      <w:r w:rsidR="0077572E">
        <w:rPr>
          <w:i/>
          <w:sz w:val="22"/>
          <w:szCs w:val="22"/>
          <w:lang w:val="en-CA"/>
        </w:rPr>
        <w:t>f NSSS and NRS-based estimators.</w:t>
      </w:r>
    </w:p>
    <w:p w:rsidR="0077572E" w:rsidRDefault="0077572E" w:rsidP="0077572E">
      <w:pPr>
        <w:rPr>
          <w:i/>
          <w:sz w:val="22"/>
          <w:szCs w:val="22"/>
          <w:lang w:val="en-CA"/>
        </w:rPr>
      </w:pPr>
      <w:r>
        <w:rPr>
          <w:i/>
          <w:sz w:val="22"/>
          <w:szCs w:val="22"/>
          <w:lang w:val="en-CA"/>
        </w:rPr>
        <w:t>RAN4 further would like to inform that the benefits with NSSS-based estimation are seen in enhanced coverage. In normal coverage, the difference in performance is insignificant. The variance seen in the est</w:t>
      </w:r>
      <w:r w:rsidR="00D42DD4">
        <w:rPr>
          <w:i/>
          <w:sz w:val="22"/>
          <w:szCs w:val="22"/>
          <w:lang w:val="en-CA"/>
        </w:rPr>
        <w:t>imates under normal coverage is</w:t>
      </w:r>
      <w:r>
        <w:rPr>
          <w:i/>
          <w:sz w:val="22"/>
          <w:szCs w:val="22"/>
          <w:lang w:val="en-CA"/>
        </w:rPr>
        <w:t xml:space="preserve"> attributed to the variability of the propagation channel.</w:t>
      </w:r>
    </w:p>
    <w:p w:rsidR="0077572E" w:rsidRPr="0077572E" w:rsidRDefault="0077572E" w:rsidP="0077572E">
      <w:pPr>
        <w:pStyle w:val="Heading1"/>
        <w:rPr>
          <w:lang w:val="en-CA"/>
        </w:rPr>
      </w:pPr>
      <w:r>
        <w:rPr>
          <w:lang w:val="en-CA"/>
        </w:rPr>
        <w:t xml:space="preserve">Summary and Conclusion </w:t>
      </w:r>
    </w:p>
    <w:p w:rsidR="0025608B" w:rsidRDefault="0025608B" w:rsidP="00B8376A">
      <w:pPr>
        <w:rPr>
          <w:sz w:val="22"/>
          <w:lang w:val="en-CA"/>
        </w:rPr>
      </w:pPr>
      <w:r w:rsidRPr="0025608B">
        <w:rPr>
          <w:sz w:val="22"/>
          <w:lang w:val="en-CA"/>
        </w:rPr>
        <w:t xml:space="preserve">In this contribution we have </w:t>
      </w:r>
      <w:r>
        <w:rPr>
          <w:sz w:val="22"/>
          <w:lang w:val="en-CA"/>
        </w:rPr>
        <w:t>revisited the RAN4 work on NB-IoT mobility measurement accuracy. Moreover we have provided simulation results that indicate that a significant increase in sensitivity can be achieved by using NSSS instead of NRS. The following observations were made:</w:t>
      </w:r>
    </w:p>
    <w:p w:rsidR="0025608B" w:rsidRDefault="0025608B" w:rsidP="0025608B">
      <w:pPr>
        <w:jc w:val="both"/>
        <w:rPr>
          <w:sz w:val="22"/>
          <w:lang w:val="en-CA"/>
        </w:rPr>
      </w:pPr>
      <w:r>
        <w:rPr>
          <w:b/>
          <w:sz w:val="22"/>
          <w:lang w:val="en-CA"/>
        </w:rPr>
        <w:t>Observation 1:</w:t>
      </w:r>
      <w:r>
        <w:rPr>
          <w:sz w:val="22"/>
          <w:lang w:val="en-CA"/>
        </w:rPr>
        <w:t xml:space="preserve"> Already in the initial work on NB-IoT RAN4 had reached consensus on that it would be beneficial to use NSSS as proxy for NRS, as it would allow observability of the NB cell at lower SINR than if using NRS only.</w:t>
      </w:r>
    </w:p>
    <w:p w:rsidR="00B8376A" w:rsidRPr="0025608B" w:rsidRDefault="0025608B" w:rsidP="00B8376A">
      <w:pPr>
        <w:rPr>
          <w:sz w:val="22"/>
          <w:lang w:val="en-CA"/>
        </w:rPr>
      </w:pPr>
      <w:r w:rsidRPr="00DD193C">
        <w:rPr>
          <w:b/>
          <w:sz w:val="22"/>
          <w:lang w:val="en-CA"/>
        </w:rPr>
        <w:t>Observation 2:</w:t>
      </w:r>
      <w:r>
        <w:rPr>
          <w:b/>
          <w:sz w:val="22"/>
          <w:lang w:val="en-CA"/>
        </w:rPr>
        <w:t xml:space="preserve"> </w:t>
      </w:r>
      <w:r>
        <w:rPr>
          <w:sz w:val="22"/>
          <w:lang w:val="en-CA"/>
        </w:rPr>
        <w:t>With same sampling rate of NSSS and NRS-based RP measurements, the variance for NSSS and NRS-based estimators are comparable before the SINR breakpoint is reached (the “slap stick”). In this zone, it is the variability of the propagation channel that gets reflected in the variance of the RP estimates.</w:t>
      </w:r>
    </w:p>
    <w:p w:rsidR="0025608B" w:rsidRDefault="0025608B" w:rsidP="0025608B">
      <w:pPr>
        <w:jc w:val="both"/>
        <w:rPr>
          <w:sz w:val="22"/>
          <w:lang w:val="en-CA"/>
        </w:rPr>
      </w:pPr>
      <w:r>
        <w:rPr>
          <w:b/>
          <w:sz w:val="22"/>
          <w:lang w:val="en-CA"/>
        </w:rPr>
        <w:t xml:space="preserve">Observation 3: </w:t>
      </w:r>
      <w:r>
        <w:rPr>
          <w:sz w:val="22"/>
          <w:lang w:val="en-CA"/>
        </w:rPr>
        <w:t>With same sampling rate of NSSS and NRS-based RP measurements, the SINR breakpoint is significantly lower for the NSSS than for the NRS-based estimator. The NSSS-based estimator can provide corresponding observability of the NB cell at about 7dB lower SINR than the NRS-based estimator.</w:t>
      </w:r>
    </w:p>
    <w:p w:rsidR="0025608B" w:rsidRDefault="0025608B" w:rsidP="0025608B">
      <w:pPr>
        <w:jc w:val="both"/>
        <w:rPr>
          <w:sz w:val="22"/>
          <w:lang w:val="en-CA"/>
        </w:rPr>
      </w:pPr>
      <w:r>
        <w:rPr>
          <w:b/>
          <w:sz w:val="22"/>
          <w:lang w:val="en-CA"/>
        </w:rPr>
        <w:t>Observation 4:</w:t>
      </w:r>
      <w:r>
        <w:rPr>
          <w:sz w:val="22"/>
          <w:lang w:val="en-CA"/>
        </w:rPr>
        <w:t xml:space="preserve"> Combining NSSS and NRS coherently in the RP estimation would impose restrictions on from which antennas each respective signal is sent, and would provide an insignificant gain.</w:t>
      </w:r>
    </w:p>
    <w:p w:rsidR="0025608B" w:rsidRDefault="0025608B" w:rsidP="0025608B">
      <w:pPr>
        <w:jc w:val="both"/>
        <w:rPr>
          <w:sz w:val="22"/>
          <w:lang w:val="en-CA"/>
        </w:rPr>
      </w:pPr>
      <w:r>
        <w:rPr>
          <w:b/>
          <w:sz w:val="22"/>
          <w:lang w:val="en-CA"/>
        </w:rPr>
        <w:t>Observation 5:</w:t>
      </w:r>
      <w:r>
        <w:rPr>
          <w:sz w:val="22"/>
          <w:lang w:val="en-CA"/>
        </w:rPr>
        <w:t xml:space="preserve"> Combining NSSS and NRS-based RP estimates non-coherently would destroy the sensitivity provided by sole NSSS-based estimation.</w:t>
      </w:r>
    </w:p>
    <w:p w:rsidR="00EB5AF4" w:rsidRDefault="00EC2702" w:rsidP="00DD193C">
      <w:pPr>
        <w:jc w:val="both"/>
        <w:rPr>
          <w:sz w:val="22"/>
          <w:szCs w:val="22"/>
          <w:lang w:val="en-CA"/>
        </w:rPr>
      </w:pPr>
      <w:r w:rsidRPr="00EC2702">
        <w:rPr>
          <w:sz w:val="22"/>
          <w:szCs w:val="22"/>
          <w:lang w:val="en-CA"/>
        </w:rPr>
        <w:t xml:space="preserve">Based on the observations we propose a response to RAN1 </w:t>
      </w:r>
      <w:r w:rsidR="009F32D5">
        <w:rPr>
          <w:sz w:val="22"/>
          <w:szCs w:val="22"/>
          <w:lang w:val="en-CA"/>
        </w:rPr>
        <w:t>which is outlined above, and in essence confirms that NSSS-based estimation is feasible, that no benefit is achieved by combining NSSS and NRS in the estimation process, and further explains that the benefits are seen in enhanced coverage mode of operation.</w:t>
      </w:r>
    </w:p>
    <w:p w:rsidR="00731878" w:rsidRPr="009F32D5" w:rsidRDefault="009F32D5" w:rsidP="00AC79A8">
      <w:pPr>
        <w:jc w:val="both"/>
        <w:rPr>
          <w:sz w:val="22"/>
          <w:szCs w:val="22"/>
          <w:lang w:val="en-CA"/>
        </w:rPr>
      </w:pPr>
      <w:r>
        <w:rPr>
          <w:sz w:val="22"/>
          <w:szCs w:val="22"/>
          <w:lang w:val="en-CA"/>
        </w:rPr>
        <w:t xml:space="preserve">A draft LS out is provided in </w:t>
      </w:r>
      <w:r>
        <w:rPr>
          <w:sz w:val="22"/>
          <w:szCs w:val="22"/>
          <w:lang w:val="en-CA"/>
        </w:rPr>
        <w:fldChar w:fldCharType="begin"/>
      </w:r>
      <w:r>
        <w:rPr>
          <w:sz w:val="22"/>
          <w:szCs w:val="22"/>
          <w:lang w:val="en-CA"/>
        </w:rPr>
        <w:instrText xml:space="preserve"> REF _Ref489914129 \r \h </w:instrText>
      </w:r>
      <w:r>
        <w:rPr>
          <w:sz w:val="22"/>
          <w:szCs w:val="22"/>
          <w:lang w:val="en-CA"/>
        </w:rPr>
      </w:r>
      <w:r>
        <w:rPr>
          <w:sz w:val="22"/>
          <w:szCs w:val="22"/>
          <w:lang w:val="en-CA"/>
        </w:rPr>
        <w:fldChar w:fldCharType="separate"/>
      </w:r>
      <w:r>
        <w:rPr>
          <w:sz w:val="22"/>
          <w:szCs w:val="22"/>
          <w:lang w:val="en-CA"/>
        </w:rPr>
        <w:t>[4]</w:t>
      </w:r>
      <w:r>
        <w:rPr>
          <w:sz w:val="22"/>
          <w:szCs w:val="22"/>
          <w:lang w:val="en-CA"/>
        </w:rPr>
        <w:fldChar w:fldCharType="end"/>
      </w:r>
      <w:r>
        <w:rPr>
          <w:sz w:val="22"/>
          <w:szCs w:val="22"/>
          <w:lang w:val="en-CA"/>
        </w:rPr>
        <w:t>.</w:t>
      </w:r>
    </w:p>
    <w:p w:rsidR="00BD2156" w:rsidRPr="00862C73" w:rsidRDefault="00D80957" w:rsidP="00BB4411">
      <w:pPr>
        <w:pStyle w:val="Heading1"/>
        <w:pBdr>
          <w:top w:val="single" w:sz="12" w:space="2" w:color="auto"/>
        </w:pBdr>
        <w:rPr>
          <w:sz w:val="32"/>
          <w:lang w:val="en-CA"/>
        </w:rPr>
      </w:pPr>
      <w:r w:rsidRPr="00862C73">
        <w:rPr>
          <w:sz w:val="32"/>
          <w:lang w:val="en-CA"/>
        </w:rPr>
        <w:t>References</w:t>
      </w:r>
      <w:bookmarkEnd w:id="1"/>
      <w:bookmarkEnd w:id="2"/>
    </w:p>
    <w:p w:rsidR="00A70FBF" w:rsidRDefault="00A70FBF" w:rsidP="009F15C9">
      <w:pPr>
        <w:numPr>
          <w:ilvl w:val="0"/>
          <w:numId w:val="9"/>
        </w:numPr>
        <w:tabs>
          <w:tab w:val="left" w:pos="851"/>
        </w:tabs>
        <w:rPr>
          <w:rFonts w:ascii="Arial" w:hAnsi="Arial" w:cs="Arial"/>
          <w:sz w:val="22"/>
          <w:szCs w:val="22"/>
          <w:lang w:val="en-CA"/>
        </w:rPr>
      </w:pPr>
      <w:r>
        <w:rPr>
          <w:rFonts w:ascii="Arial" w:hAnsi="Arial" w:cs="Arial"/>
          <w:sz w:val="22"/>
          <w:szCs w:val="22"/>
          <w:lang w:val="en-CA"/>
        </w:rPr>
        <w:t>R1-1709781, “LS on narrowband measurement accuracy enhancement”, RAN1</w:t>
      </w:r>
    </w:p>
    <w:p w:rsidR="008E63F7" w:rsidRDefault="008E63F7" w:rsidP="009F15C9">
      <w:pPr>
        <w:numPr>
          <w:ilvl w:val="0"/>
          <w:numId w:val="9"/>
        </w:numPr>
        <w:tabs>
          <w:tab w:val="left" w:pos="851"/>
        </w:tabs>
        <w:rPr>
          <w:rFonts w:ascii="Arial" w:hAnsi="Arial" w:cs="Arial"/>
          <w:sz w:val="22"/>
          <w:szCs w:val="22"/>
          <w:lang w:val="en-CA"/>
        </w:rPr>
      </w:pPr>
      <w:bookmarkStart w:id="3" w:name="_Ref489908904"/>
      <w:r>
        <w:rPr>
          <w:rFonts w:ascii="Arial" w:hAnsi="Arial" w:cs="Arial"/>
          <w:sz w:val="22"/>
          <w:szCs w:val="22"/>
          <w:lang w:val="en-CA"/>
        </w:rPr>
        <w:t>R4-162881, “</w:t>
      </w:r>
      <w:r w:rsidRPr="008E63F7">
        <w:rPr>
          <w:rFonts w:ascii="Arial" w:hAnsi="Arial" w:cs="Arial"/>
          <w:sz w:val="22"/>
          <w:szCs w:val="22"/>
          <w:lang w:val="en-CA"/>
        </w:rPr>
        <w:t>LS on RRM measurement for NB-IOT</w:t>
      </w:r>
      <w:r>
        <w:rPr>
          <w:rFonts w:ascii="Arial" w:hAnsi="Arial" w:cs="Arial"/>
          <w:sz w:val="22"/>
          <w:szCs w:val="22"/>
          <w:lang w:val="en-CA"/>
        </w:rPr>
        <w:t>”, RAN4</w:t>
      </w:r>
      <w:bookmarkEnd w:id="3"/>
    </w:p>
    <w:p w:rsidR="008E63F7" w:rsidRDefault="008E63F7" w:rsidP="009F15C9">
      <w:pPr>
        <w:numPr>
          <w:ilvl w:val="0"/>
          <w:numId w:val="9"/>
        </w:numPr>
        <w:tabs>
          <w:tab w:val="left" w:pos="851"/>
        </w:tabs>
        <w:rPr>
          <w:rFonts w:ascii="Arial" w:hAnsi="Arial" w:cs="Arial"/>
          <w:sz w:val="22"/>
          <w:szCs w:val="22"/>
          <w:lang w:val="en-CA"/>
        </w:rPr>
      </w:pPr>
      <w:bookmarkStart w:id="4" w:name="_Ref489909002"/>
      <w:r w:rsidRPr="008E63F7">
        <w:rPr>
          <w:rFonts w:ascii="Arial" w:hAnsi="Arial" w:cs="Arial"/>
          <w:sz w:val="22"/>
          <w:szCs w:val="22"/>
          <w:lang w:val="en-CA"/>
        </w:rPr>
        <w:t>R1-163944</w:t>
      </w:r>
      <w:r>
        <w:rPr>
          <w:rFonts w:ascii="Arial" w:hAnsi="Arial" w:cs="Arial"/>
          <w:sz w:val="22"/>
          <w:szCs w:val="22"/>
          <w:lang w:val="en-CA"/>
        </w:rPr>
        <w:t>, “</w:t>
      </w:r>
      <w:r w:rsidRPr="008E63F7">
        <w:rPr>
          <w:rFonts w:ascii="Arial" w:hAnsi="Arial" w:cs="Arial"/>
          <w:sz w:val="22"/>
          <w:szCs w:val="22"/>
          <w:lang w:val="en-CA"/>
        </w:rPr>
        <w:t>Reply LS on RRM measurement for NB-IOT”, RAN1</w:t>
      </w:r>
      <w:bookmarkEnd w:id="4"/>
    </w:p>
    <w:p w:rsidR="009F32D5" w:rsidRDefault="009F32D5" w:rsidP="009F15C9">
      <w:pPr>
        <w:numPr>
          <w:ilvl w:val="0"/>
          <w:numId w:val="9"/>
        </w:numPr>
        <w:tabs>
          <w:tab w:val="left" w:pos="851"/>
        </w:tabs>
        <w:rPr>
          <w:rFonts w:ascii="Arial" w:hAnsi="Arial" w:cs="Arial"/>
          <w:sz w:val="22"/>
          <w:szCs w:val="22"/>
          <w:lang w:val="en-CA"/>
        </w:rPr>
      </w:pPr>
      <w:bookmarkStart w:id="5" w:name="_Ref489914129"/>
      <w:r>
        <w:rPr>
          <w:rFonts w:ascii="Arial" w:hAnsi="Arial" w:cs="Arial"/>
          <w:sz w:val="22"/>
          <w:szCs w:val="22"/>
          <w:lang w:val="en-CA"/>
        </w:rPr>
        <w:t>R4-170xxxx, “DRAFT Reply LS on narrowband measurement accuracy enhancement”, Ericsson</w:t>
      </w:r>
      <w:bookmarkEnd w:id="5"/>
    </w:p>
    <w:p w:rsidR="009F15C9" w:rsidRDefault="00CC7994" w:rsidP="009F15C9">
      <w:pPr>
        <w:numPr>
          <w:ilvl w:val="0"/>
          <w:numId w:val="9"/>
        </w:numPr>
        <w:tabs>
          <w:tab w:val="left" w:pos="851"/>
        </w:tabs>
        <w:rPr>
          <w:rFonts w:ascii="Arial" w:hAnsi="Arial" w:cs="Arial"/>
          <w:sz w:val="22"/>
          <w:szCs w:val="22"/>
          <w:lang w:val="en-CA"/>
        </w:rPr>
      </w:pPr>
      <w:r w:rsidRPr="00862C73">
        <w:rPr>
          <w:rFonts w:ascii="Arial" w:hAnsi="Arial" w:cs="Arial"/>
          <w:sz w:val="22"/>
          <w:szCs w:val="22"/>
          <w:lang w:val="en-CA"/>
        </w:rPr>
        <w:t>36.133</w:t>
      </w:r>
    </w:p>
    <w:p w:rsidR="00123F68" w:rsidRDefault="00123F68" w:rsidP="00123F68">
      <w:pPr>
        <w:pStyle w:val="Heading1"/>
        <w:rPr>
          <w:lang w:val="en-CA"/>
        </w:rPr>
      </w:pPr>
      <w:r>
        <w:rPr>
          <w:lang w:val="en-CA"/>
        </w:rPr>
        <w:lastRenderedPageBreak/>
        <w:t>Appendix</w:t>
      </w:r>
    </w:p>
    <w:p w:rsidR="00574656" w:rsidRDefault="00574656" w:rsidP="00574656">
      <w:pPr>
        <w:pStyle w:val="Heading2"/>
        <w:rPr>
          <w:lang w:val="en-CA"/>
        </w:rPr>
      </w:pPr>
      <w:r>
        <w:rPr>
          <w:lang w:val="en-CA"/>
        </w:rPr>
        <w:t>Simulations</w:t>
      </w:r>
    </w:p>
    <w:p w:rsidR="00574656" w:rsidRPr="00574656" w:rsidRDefault="00574656" w:rsidP="00574656">
      <w:pPr>
        <w:pStyle w:val="Heading2"/>
        <w:rPr>
          <w:lang w:val="en-CA"/>
        </w:rPr>
      </w:pPr>
      <w:r>
        <w:rPr>
          <w:lang w:val="en-CA"/>
        </w:rPr>
        <w:t>Results</w:t>
      </w:r>
    </w:p>
    <w:p w:rsidR="00123F68" w:rsidRDefault="001245A0" w:rsidP="00123F68">
      <w:pPr>
        <w:keepNext/>
      </w:pPr>
      <w:r w:rsidRPr="001245A0">
        <w:rPr>
          <w:noProof/>
          <w:lang w:val="en-US"/>
        </w:rPr>
        <w:drawing>
          <wp:inline distT="0" distB="0" distL="0" distR="0">
            <wp:extent cx="5468112" cy="394106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68112" cy="3941064"/>
                    </a:xfrm>
                    <a:prstGeom prst="rect">
                      <a:avLst/>
                    </a:prstGeom>
                    <a:noFill/>
                    <a:ln>
                      <a:noFill/>
                    </a:ln>
                  </pic:spPr>
                </pic:pic>
              </a:graphicData>
            </a:graphic>
          </wp:inline>
        </w:drawing>
      </w:r>
    </w:p>
    <w:p w:rsidR="00123F68" w:rsidRPr="00123F68" w:rsidRDefault="00123F68" w:rsidP="00123F68">
      <w:pPr>
        <w:pStyle w:val="Caption"/>
        <w:rPr>
          <w:b w:val="0"/>
          <w:sz w:val="22"/>
          <w:lang w:val="en-US"/>
        </w:rPr>
      </w:pPr>
      <w:r w:rsidRPr="00123F68">
        <w:rPr>
          <w:sz w:val="22"/>
          <w:lang w:val="en-US"/>
        </w:rPr>
        <w:t xml:space="preserve">Figure </w:t>
      </w:r>
      <w:r w:rsidRPr="00123F68">
        <w:rPr>
          <w:sz w:val="22"/>
        </w:rPr>
        <w:fldChar w:fldCharType="begin"/>
      </w:r>
      <w:r w:rsidRPr="00123F68">
        <w:rPr>
          <w:sz w:val="22"/>
          <w:lang w:val="en-US"/>
        </w:rPr>
        <w:instrText xml:space="preserve"> SEQ Figure \* ARABIC </w:instrText>
      </w:r>
      <w:r w:rsidRPr="00123F68">
        <w:rPr>
          <w:sz w:val="22"/>
        </w:rPr>
        <w:fldChar w:fldCharType="separate"/>
      </w:r>
      <w:r w:rsidR="004443C7">
        <w:rPr>
          <w:noProof/>
          <w:sz w:val="22"/>
          <w:lang w:val="en-US"/>
        </w:rPr>
        <w:t>1</w:t>
      </w:r>
      <w:r w:rsidRPr="00123F68">
        <w:rPr>
          <w:sz w:val="22"/>
        </w:rPr>
        <w:fldChar w:fldCharType="end"/>
      </w:r>
      <w:r w:rsidRPr="00123F68">
        <w:rPr>
          <w:sz w:val="22"/>
          <w:lang w:val="en-US"/>
        </w:rPr>
        <w:t xml:space="preserve">: </w:t>
      </w:r>
      <w:r w:rsidRPr="00123F68">
        <w:rPr>
          <w:b w:val="0"/>
          <w:sz w:val="22"/>
          <w:lang w:val="en-US"/>
        </w:rPr>
        <w:t>AWGN – SSRP and RSRP for enhanced and normal coverages</w:t>
      </w:r>
    </w:p>
    <w:p w:rsidR="00123F68" w:rsidRDefault="00FC0011" w:rsidP="00123F68">
      <w:pPr>
        <w:keepNext/>
      </w:pPr>
      <w:r w:rsidRPr="00FC0011">
        <w:rPr>
          <w:noProof/>
          <w:lang w:val="en-US"/>
        </w:rPr>
        <w:lastRenderedPageBreak/>
        <w:drawing>
          <wp:inline distT="0" distB="0" distL="0" distR="0">
            <wp:extent cx="5458968" cy="39319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58968" cy="3931920"/>
                    </a:xfrm>
                    <a:prstGeom prst="rect">
                      <a:avLst/>
                    </a:prstGeom>
                    <a:noFill/>
                    <a:ln>
                      <a:noFill/>
                    </a:ln>
                  </pic:spPr>
                </pic:pic>
              </a:graphicData>
            </a:graphic>
          </wp:inline>
        </w:drawing>
      </w:r>
    </w:p>
    <w:p w:rsidR="00123F68" w:rsidRPr="00123F68" w:rsidRDefault="00123F68" w:rsidP="00123F68">
      <w:pPr>
        <w:pStyle w:val="Caption"/>
        <w:rPr>
          <w:b w:val="0"/>
          <w:sz w:val="22"/>
          <w:lang w:val="en-US"/>
        </w:rPr>
      </w:pPr>
      <w:r w:rsidRPr="00123F68">
        <w:rPr>
          <w:sz w:val="22"/>
          <w:lang w:val="en-US"/>
        </w:rPr>
        <w:t xml:space="preserve">Figure </w:t>
      </w:r>
      <w:r w:rsidRPr="00123F68">
        <w:rPr>
          <w:sz w:val="22"/>
        </w:rPr>
        <w:fldChar w:fldCharType="begin"/>
      </w:r>
      <w:r w:rsidRPr="00123F68">
        <w:rPr>
          <w:sz w:val="22"/>
          <w:lang w:val="en-US"/>
        </w:rPr>
        <w:instrText xml:space="preserve"> SEQ Figure \* ARABIC </w:instrText>
      </w:r>
      <w:r w:rsidRPr="00123F68">
        <w:rPr>
          <w:sz w:val="22"/>
        </w:rPr>
        <w:fldChar w:fldCharType="separate"/>
      </w:r>
      <w:r w:rsidR="004443C7">
        <w:rPr>
          <w:noProof/>
          <w:sz w:val="22"/>
          <w:lang w:val="en-US"/>
        </w:rPr>
        <w:t>2</w:t>
      </w:r>
      <w:r w:rsidRPr="00123F68">
        <w:rPr>
          <w:sz w:val="22"/>
        </w:rPr>
        <w:fldChar w:fldCharType="end"/>
      </w:r>
      <w:r w:rsidRPr="00123F68">
        <w:rPr>
          <w:sz w:val="22"/>
          <w:lang w:val="en-US"/>
        </w:rPr>
        <w:t xml:space="preserve">: </w:t>
      </w:r>
      <w:r w:rsidRPr="00123F68">
        <w:rPr>
          <w:b w:val="0"/>
          <w:sz w:val="22"/>
          <w:lang w:val="en-US"/>
        </w:rPr>
        <w:t>ETU1 - SSRP and RSRP for enhanced and normal coverages</w:t>
      </w:r>
    </w:p>
    <w:p w:rsidR="00123F68" w:rsidRDefault="00123F68" w:rsidP="00123F68">
      <w:pPr>
        <w:rPr>
          <w:lang w:val="en-US" w:eastAsia="ja-JP"/>
        </w:rPr>
      </w:pPr>
    </w:p>
    <w:p w:rsidR="00123F68" w:rsidRDefault="00FC0011" w:rsidP="00123F68">
      <w:pPr>
        <w:keepNext/>
      </w:pPr>
      <w:r w:rsidRPr="00FC0011">
        <w:rPr>
          <w:noProof/>
          <w:lang w:val="en-US"/>
        </w:rPr>
        <w:drawing>
          <wp:inline distT="0" distB="0" distL="0" distR="0">
            <wp:extent cx="5468112" cy="394106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68112" cy="3941064"/>
                    </a:xfrm>
                    <a:prstGeom prst="rect">
                      <a:avLst/>
                    </a:prstGeom>
                    <a:noFill/>
                    <a:ln>
                      <a:noFill/>
                    </a:ln>
                  </pic:spPr>
                </pic:pic>
              </a:graphicData>
            </a:graphic>
          </wp:inline>
        </w:drawing>
      </w:r>
    </w:p>
    <w:p w:rsidR="00123F68" w:rsidRPr="00123F68" w:rsidRDefault="00123F68" w:rsidP="00123F68">
      <w:pPr>
        <w:pStyle w:val="Caption"/>
        <w:rPr>
          <w:sz w:val="22"/>
          <w:lang w:val="en-US"/>
        </w:rPr>
      </w:pPr>
      <w:r w:rsidRPr="000F72D8">
        <w:rPr>
          <w:sz w:val="22"/>
          <w:lang w:val="en-US"/>
        </w:rPr>
        <w:t xml:space="preserve">Figure </w:t>
      </w:r>
      <w:r w:rsidRPr="00123F68">
        <w:rPr>
          <w:sz w:val="22"/>
        </w:rPr>
        <w:fldChar w:fldCharType="begin"/>
      </w:r>
      <w:r w:rsidRPr="000F72D8">
        <w:rPr>
          <w:sz w:val="22"/>
          <w:lang w:val="en-US"/>
        </w:rPr>
        <w:instrText xml:space="preserve"> SEQ Figure \* ARABIC </w:instrText>
      </w:r>
      <w:r w:rsidRPr="00123F68">
        <w:rPr>
          <w:sz w:val="22"/>
        </w:rPr>
        <w:fldChar w:fldCharType="separate"/>
      </w:r>
      <w:r w:rsidR="004443C7">
        <w:rPr>
          <w:noProof/>
          <w:sz w:val="22"/>
          <w:lang w:val="en-US"/>
        </w:rPr>
        <w:t>3</w:t>
      </w:r>
      <w:r w:rsidRPr="00123F68">
        <w:rPr>
          <w:sz w:val="22"/>
        </w:rPr>
        <w:fldChar w:fldCharType="end"/>
      </w:r>
      <w:r w:rsidRPr="000F72D8">
        <w:rPr>
          <w:sz w:val="22"/>
          <w:lang w:val="en-US"/>
        </w:rPr>
        <w:t xml:space="preserve">: </w:t>
      </w:r>
      <w:r w:rsidRPr="000F72D8">
        <w:rPr>
          <w:b w:val="0"/>
          <w:sz w:val="22"/>
          <w:lang w:val="en-US"/>
        </w:rPr>
        <w:t>EPA1 - SSRP and RSRP for enhanced and normal coverages</w:t>
      </w:r>
    </w:p>
    <w:p w:rsidR="00123F68" w:rsidRDefault="00123F68" w:rsidP="00123F68">
      <w:pPr>
        <w:rPr>
          <w:lang w:val="en-US" w:eastAsia="ja-JP"/>
        </w:rPr>
      </w:pPr>
    </w:p>
    <w:p w:rsidR="000F72D8" w:rsidRDefault="00FC0011" w:rsidP="000F72D8">
      <w:pPr>
        <w:keepNext/>
      </w:pPr>
      <w:r w:rsidRPr="00FC0011">
        <w:rPr>
          <w:noProof/>
          <w:lang w:val="en-US"/>
        </w:rPr>
        <w:lastRenderedPageBreak/>
        <w:drawing>
          <wp:inline distT="0" distB="0" distL="0" distR="0">
            <wp:extent cx="5468112" cy="395020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68112" cy="3950208"/>
                    </a:xfrm>
                    <a:prstGeom prst="rect">
                      <a:avLst/>
                    </a:prstGeom>
                    <a:noFill/>
                    <a:ln>
                      <a:noFill/>
                    </a:ln>
                  </pic:spPr>
                </pic:pic>
              </a:graphicData>
            </a:graphic>
          </wp:inline>
        </w:drawing>
      </w:r>
    </w:p>
    <w:p w:rsidR="000F72D8" w:rsidRPr="004443C7" w:rsidRDefault="000F72D8" w:rsidP="000F72D8">
      <w:pPr>
        <w:pStyle w:val="Caption"/>
        <w:rPr>
          <w:b w:val="0"/>
          <w:sz w:val="22"/>
          <w:lang w:val="en-US"/>
        </w:rPr>
      </w:pPr>
      <w:r w:rsidRPr="004443C7">
        <w:rPr>
          <w:sz w:val="22"/>
          <w:lang w:val="en-US"/>
        </w:rPr>
        <w:t xml:space="preserve">Figure </w:t>
      </w:r>
      <w:r w:rsidRPr="000F72D8">
        <w:rPr>
          <w:sz w:val="22"/>
        </w:rPr>
        <w:fldChar w:fldCharType="begin"/>
      </w:r>
      <w:r w:rsidRPr="004443C7">
        <w:rPr>
          <w:sz w:val="22"/>
          <w:lang w:val="en-US"/>
        </w:rPr>
        <w:instrText xml:space="preserve"> SEQ Figure \* ARABIC </w:instrText>
      </w:r>
      <w:r w:rsidRPr="000F72D8">
        <w:rPr>
          <w:sz w:val="22"/>
        </w:rPr>
        <w:fldChar w:fldCharType="separate"/>
      </w:r>
      <w:r w:rsidR="004443C7">
        <w:rPr>
          <w:noProof/>
          <w:sz w:val="22"/>
          <w:lang w:val="en-US"/>
        </w:rPr>
        <w:t>4</w:t>
      </w:r>
      <w:r w:rsidRPr="000F72D8">
        <w:rPr>
          <w:sz w:val="22"/>
        </w:rPr>
        <w:fldChar w:fldCharType="end"/>
      </w:r>
      <w:r w:rsidRPr="004443C7">
        <w:rPr>
          <w:sz w:val="22"/>
          <w:lang w:val="en-US"/>
        </w:rPr>
        <w:t xml:space="preserve">: </w:t>
      </w:r>
      <w:r w:rsidRPr="004443C7">
        <w:rPr>
          <w:b w:val="0"/>
          <w:sz w:val="22"/>
          <w:lang w:val="en-US"/>
        </w:rPr>
        <w:t>ETU30 - SSRP and RSRP for enhanced and normal coverages</w:t>
      </w:r>
    </w:p>
    <w:p w:rsidR="004443C7" w:rsidRDefault="004443C7" w:rsidP="004443C7">
      <w:pPr>
        <w:rPr>
          <w:lang w:val="en-US" w:eastAsia="ja-JP"/>
        </w:rPr>
      </w:pPr>
    </w:p>
    <w:p w:rsidR="004443C7" w:rsidRDefault="00FC0011" w:rsidP="004443C7">
      <w:pPr>
        <w:keepNext/>
      </w:pPr>
      <w:r w:rsidRPr="00FC0011">
        <w:rPr>
          <w:noProof/>
          <w:lang w:val="en-US"/>
        </w:rPr>
        <w:drawing>
          <wp:inline distT="0" distB="0" distL="0" distR="0">
            <wp:extent cx="5468112" cy="394106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68112" cy="3941064"/>
                    </a:xfrm>
                    <a:prstGeom prst="rect">
                      <a:avLst/>
                    </a:prstGeom>
                    <a:noFill/>
                    <a:ln>
                      <a:noFill/>
                    </a:ln>
                  </pic:spPr>
                </pic:pic>
              </a:graphicData>
            </a:graphic>
          </wp:inline>
        </w:drawing>
      </w:r>
    </w:p>
    <w:p w:rsidR="004443C7" w:rsidRPr="004443C7" w:rsidRDefault="004443C7" w:rsidP="004443C7">
      <w:pPr>
        <w:pStyle w:val="Caption"/>
        <w:rPr>
          <w:sz w:val="22"/>
          <w:lang w:val="en-US"/>
        </w:rPr>
      </w:pPr>
      <w:r w:rsidRPr="004443C7">
        <w:rPr>
          <w:sz w:val="22"/>
          <w:lang w:val="en-US"/>
        </w:rPr>
        <w:t xml:space="preserve">Figure </w:t>
      </w:r>
      <w:r w:rsidRPr="004443C7">
        <w:rPr>
          <w:sz w:val="22"/>
        </w:rPr>
        <w:fldChar w:fldCharType="begin"/>
      </w:r>
      <w:r w:rsidRPr="004443C7">
        <w:rPr>
          <w:sz w:val="22"/>
          <w:lang w:val="en-US"/>
        </w:rPr>
        <w:instrText xml:space="preserve"> SEQ Figure \* ARABIC </w:instrText>
      </w:r>
      <w:r w:rsidRPr="004443C7">
        <w:rPr>
          <w:sz w:val="22"/>
        </w:rPr>
        <w:fldChar w:fldCharType="separate"/>
      </w:r>
      <w:r w:rsidRPr="004443C7">
        <w:rPr>
          <w:noProof/>
          <w:sz w:val="22"/>
          <w:lang w:val="en-US"/>
        </w:rPr>
        <w:t>5</w:t>
      </w:r>
      <w:r w:rsidRPr="004443C7">
        <w:rPr>
          <w:sz w:val="22"/>
        </w:rPr>
        <w:fldChar w:fldCharType="end"/>
      </w:r>
      <w:r w:rsidRPr="004443C7">
        <w:rPr>
          <w:sz w:val="22"/>
          <w:lang w:val="en-US"/>
        </w:rPr>
        <w:t xml:space="preserve">: </w:t>
      </w:r>
      <w:r w:rsidRPr="004443C7">
        <w:rPr>
          <w:b w:val="0"/>
          <w:sz w:val="22"/>
          <w:lang w:val="en-US"/>
        </w:rPr>
        <w:t>EPA5 - SSRP and RSRP under enhanced and normal coverages</w:t>
      </w:r>
    </w:p>
    <w:sectPr w:rsidR="004443C7" w:rsidRPr="004443C7" w:rsidSect="00D04AFA">
      <w:footerReference w:type="even" r:id="rId13"/>
      <w:footerReference w:type="default" r:id="rId14"/>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3930" w:rsidRDefault="005A3930">
      <w:r>
        <w:separator/>
      </w:r>
    </w:p>
  </w:endnote>
  <w:endnote w:type="continuationSeparator" w:id="0">
    <w:p w:rsidR="005A3930" w:rsidRDefault="005A3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D7255">
      <w:rPr>
        <w:rStyle w:val="PageNumber"/>
        <w:noProof/>
      </w:rPr>
      <w:t>1</w:t>
    </w:r>
    <w:r>
      <w:rPr>
        <w:rStyle w:val="PageNumber"/>
      </w:rPr>
      <w:fldChar w:fldCharType="end"/>
    </w:r>
  </w:p>
  <w:p w:rsidR="006265EE" w:rsidRDefault="00626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3930" w:rsidRDefault="005A3930">
      <w:r>
        <w:separator/>
      </w:r>
    </w:p>
  </w:footnote>
  <w:footnote w:type="continuationSeparator" w:id="0">
    <w:p w:rsidR="005A3930" w:rsidRDefault="005A39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292AA7"/>
    <w:multiLevelType w:val="hybridMultilevel"/>
    <w:tmpl w:val="25D6C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8"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9"/>
  </w:num>
  <w:num w:numId="3">
    <w:abstractNumId w:val="8"/>
  </w:num>
  <w:num w:numId="4">
    <w:abstractNumId w:val="4"/>
  </w:num>
  <w:num w:numId="5">
    <w:abstractNumId w:val="5"/>
  </w:num>
  <w:num w:numId="6">
    <w:abstractNumId w:val="2"/>
  </w:num>
  <w:num w:numId="7">
    <w:abstractNumId w:val="1"/>
  </w:num>
  <w:num w:numId="8">
    <w:abstractNumId w:val="10"/>
  </w:num>
  <w:num w:numId="9">
    <w:abstractNumId w:val="6"/>
  </w:num>
  <w:num w:numId="10">
    <w:abstractNumId w:val="0"/>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223E"/>
    <w:rsid w:val="0000311A"/>
    <w:rsid w:val="000036BB"/>
    <w:rsid w:val="0000376E"/>
    <w:rsid w:val="00003EC2"/>
    <w:rsid w:val="000040C9"/>
    <w:rsid w:val="00004A77"/>
    <w:rsid w:val="00004D7D"/>
    <w:rsid w:val="00004F8E"/>
    <w:rsid w:val="00005313"/>
    <w:rsid w:val="000054B2"/>
    <w:rsid w:val="00005E2A"/>
    <w:rsid w:val="0000741B"/>
    <w:rsid w:val="000103F2"/>
    <w:rsid w:val="000113B5"/>
    <w:rsid w:val="000118B2"/>
    <w:rsid w:val="000127FB"/>
    <w:rsid w:val="00012931"/>
    <w:rsid w:val="00012CF0"/>
    <w:rsid w:val="0001351C"/>
    <w:rsid w:val="00014C5F"/>
    <w:rsid w:val="0001579B"/>
    <w:rsid w:val="0001606F"/>
    <w:rsid w:val="0001686B"/>
    <w:rsid w:val="00017E83"/>
    <w:rsid w:val="00017F08"/>
    <w:rsid w:val="000203E8"/>
    <w:rsid w:val="00021BBA"/>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0C5"/>
    <w:rsid w:val="00047819"/>
    <w:rsid w:val="00047B7C"/>
    <w:rsid w:val="00051BC5"/>
    <w:rsid w:val="00052101"/>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1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29"/>
    <w:rsid w:val="000F2D9C"/>
    <w:rsid w:val="000F2FB7"/>
    <w:rsid w:val="000F3191"/>
    <w:rsid w:val="000F36C3"/>
    <w:rsid w:val="000F37A5"/>
    <w:rsid w:val="000F4544"/>
    <w:rsid w:val="000F4E7E"/>
    <w:rsid w:val="000F5DC0"/>
    <w:rsid w:val="000F5E35"/>
    <w:rsid w:val="000F6877"/>
    <w:rsid w:val="000F72D8"/>
    <w:rsid w:val="000F74D7"/>
    <w:rsid w:val="000F7B38"/>
    <w:rsid w:val="001002EB"/>
    <w:rsid w:val="001015F3"/>
    <w:rsid w:val="00101956"/>
    <w:rsid w:val="00102507"/>
    <w:rsid w:val="001026EB"/>
    <w:rsid w:val="00103EBA"/>
    <w:rsid w:val="00105512"/>
    <w:rsid w:val="001058CF"/>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E60"/>
    <w:rsid w:val="00123A2E"/>
    <w:rsid w:val="00123F68"/>
    <w:rsid w:val="001243FE"/>
    <w:rsid w:val="00124441"/>
    <w:rsid w:val="001245A0"/>
    <w:rsid w:val="00126DD9"/>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D2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164E"/>
    <w:rsid w:val="001920BE"/>
    <w:rsid w:val="0019238D"/>
    <w:rsid w:val="00192905"/>
    <w:rsid w:val="00193912"/>
    <w:rsid w:val="001940EE"/>
    <w:rsid w:val="00195384"/>
    <w:rsid w:val="00195461"/>
    <w:rsid w:val="001956AF"/>
    <w:rsid w:val="0019661A"/>
    <w:rsid w:val="00196F92"/>
    <w:rsid w:val="0019740D"/>
    <w:rsid w:val="001A129D"/>
    <w:rsid w:val="001A1CB8"/>
    <w:rsid w:val="001A21FD"/>
    <w:rsid w:val="001A3432"/>
    <w:rsid w:val="001A4E3B"/>
    <w:rsid w:val="001A5354"/>
    <w:rsid w:val="001A5611"/>
    <w:rsid w:val="001A5B2F"/>
    <w:rsid w:val="001A60DB"/>
    <w:rsid w:val="001A6432"/>
    <w:rsid w:val="001A6904"/>
    <w:rsid w:val="001A6BB7"/>
    <w:rsid w:val="001A7000"/>
    <w:rsid w:val="001A7B7F"/>
    <w:rsid w:val="001B00ED"/>
    <w:rsid w:val="001B0BBF"/>
    <w:rsid w:val="001B1BA7"/>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255"/>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8BF"/>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22C"/>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C84"/>
    <w:rsid w:val="00253DB0"/>
    <w:rsid w:val="00254FB1"/>
    <w:rsid w:val="002558B7"/>
    <w:rsid w:val="00255B9F"/>
    <w:rsid w:val="00255E20"/>
    <w:rsid w:val="0025608B"/>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3112"/>
    <w:rsid w:val="00293168"/>
    <w:rsid w:val="002932F1"/>
    <w:rsid w:val="0029348C"/>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B0D9B"/>
    <w:rsid w:val="002B1061"/>
    <w:rsid w:val="002B1070"/>
    <w:rsid w:val="002B2482"/>
    <w:rsid w:val="002B27E4"/>
    <w:rsid w:val="002B2CC4"/>
    <w:rsid w:val="002B2D6E"/>
    <w:rsid w:val="002B2F1B"/>
    <w:rsid w:val="002B3324"/>
    <w:rsid w:val="002B3532"/>
    <w:rsid w:val="002B373F"/>
    <w:rsid w:val="002B410B"/>
    <w:rsid w:val="002B4425"/>
    <w:rsid w:val="002B4B2B"/>
    <w:rsid w:val="002B50A2"/>
    <w:rsid w:val="002B50A7"/>
    <w:rsid w:val="002B6418"/>
    <w:rsid w:val="002B6A47"/>
    <w:rsid w:val="002B7BC3"/>
    <w:rsid w:val="002C107A"/>
    <w:rsid w:val="002C129C"/>
    <w:rsid w:val="002C1DA6"/>
    <w:rsid w:val="002C22F9"/>
    <w:rsid w:val="002C327D"/>
    <w:rsid w:val="002C3949"/>
    <w:rsid w:val="002C3D11"/>
    <w:rsid w:val="002C4973"/>
    <w:rsid w:val="002C4EE1"/>
    <w:rsid w:val="002C5735"/>
    <w:rsid w:val="002C5A0A"/>
    <w:rsid w:val="002C6161"/>
    <w:rsid w:val="002C65AB"/>
    <w:rsid w:val="002C78CA"/>
    <w:rsid w:val="002C7CC6"/>
    <w:rsid w:val="002D0490"/>
    <w:rsid w:val="002D06CA"/>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4BB"/>
    <w:rsid w:val="002E0D59"/>
    <w:rsid w:val="002E1368"/>
    <w:rsid w:val="002E18FC"/>
    <w:rsid w:val="002E1DD0"/>
    <w:rsid w:val="002E221E"/>
    <w:rsid w:val="002E2F57"/>
    <w:rsid w:val="002E2FB1"/>
    <w:rsid w:val="002E3305"/>
    <w:rsid w:val="002E399F"/>
    <w:rsid w:val="002E3A19"/>
    <w:rsid w:val="002E3CE3"/>
    <w:rsid w:val="002E4193"/>
    <w:rsid w:val="002E56FE"/>
    <w:rsid w:val="002E5D22"/>
    <w:rsid w:val="002E5D89"/>
    <w:rsid w:val="002E6768"/>
    <w:rsid w:val="002E686D"/>
    <w:rsid w:val="002E7A4C"/>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0CB"/>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6C5"/>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3AD3"/>
    <w:rsid w:val="0038443A"/>
    <w:rsid w:val="003848A6"/>
    <w:rsid w:val="003854A3"/>
    <w:rsid w:val="00385FA4"/>
    <w:rsid w:val="003862A7"/>
    <w:rsid w:val="00386372"/>
    <w:rsid w:val="00390123"/>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E9"/>
    <w:rsid w:val="003C5321"/>
    <w:rsid w:val="003C5FED"/>
    <w:rsid w:val="003C662E"/>
    <w:rsid w:val="003C6C39"/>
    <w:rsid w:val="003C707D"/>
    <w:rsid w:val="003C70A7"/>
    <w:rsid w:val="003C72D2"/>
    <w:rsid w:val="003D0362"/>
    <w:rsid w:val="003D1463"/>
    <w:rsid w:val="003D161A"/>
    <w:rsid w:val="003D1DBF"/>
    <w:rsid w:val="003D1E8B"/>
    <w:rsid w:val="003D30C7"/>
    <w:rsid w:val="003D38D0"/>
    <w:rsid w:val="003D43E9"/>
    <w:rsid w:val="003D4BC9"/>
    <w:rsid w:val="003D51DB"/>
    <w:rsid w:val="003D52BA"/>
    <w:rsid w:val="003D5A1D"/>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946"/>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418D"/>
    <w:rsid w:val="004443C7"/>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6B"/>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59"/>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25A6"/>
    <w:rsid w:val="004A3CDF"/>
    <w:rsid w:val="004A4493"/>
    <w:rsid w:val="004A53B9"/>
    <w:rsid w:val="004A55CF"/>
    <w:rsid w:val="004A5C0E"/>
    <w:rsid w:val="004A6415"/>
    <w:rsid w:val="004A67FB"/>
    <w:rsid w:val="004A6C7A"/>
    <w:rsid w:val="004A7742"/>
    <w:rsid w:val="004A799B"/>
    <w:rsid w:val="004B1C9C"/>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7F7"/>
    <w:rsid w:val="004E0A86"/>
    <w:rsid w:val="004E1DAE"/>
    <w:rsid w:val="004E296B"/>
    <w:rsid w:val="004E41C3"/>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27D"/>
    <w:rsid w:val="00500483"/>
    <w:rsid w:val="005006D3"/>
    <w:rsid w:val="00500BB3"/>
    <w:rsid w:val="00500C80"/>
    <w:rsid w:val="00500F0C"/>
    <w:rsid w:val="00501116"/>
    <w:rsid w:val="00501A9C"/>
    <w:rsid w:val="00501CAF"/>
    <w:rsid w:val="005028D7"/>
    <w:rsid w:val="005030B0"/>
    <w:rsid w:val="005032B8"/>
    <w:rsid w:val="00504255"/>
    <w:rsid w:val="00505F6B"/>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5D"/>
    <w:rsid w:val="00543366"/>
    <w:rsid w:val="00543D5A"/>
    <w:rsid w:val="005446D8"/>
    <w:rsid w:val="005451E2"/>
    <w:rsid w:val="00545F87"/>
    <w:rsid w:val="00546795"/>
    <w:rsid w:val="005479B6"/>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823"/>
    <w:rsid w:val="00565EF2"/>
    <w:rsid w:val="00566584"/>
    <w:rsid w:val="0056670F"/>
    <w:rsid w:val="00570299"/>
    <w:rsid w:val="00570F23"/>
    <w:rsid w:val="00572C79"/>
    <w:rsid w:val="005731C2"/>
    <w:rsid w:val="005737A1"/>
    <w:rsid w:val="00573896"/>
    <w:rsid w:val="005738E4"/>
    <w:rsid w:val="005739CB"/>
    <w:rsid w:val="005739DC"/>
    <w:rsid w:val="00574067"/>
    <w:rsid w:val="0057406A"/>
    <w:rsid w:val="00574656"/>
    <w:rsid w:val="00575B75"/>
    <w:rsid w:val="00575C6D"/>
    <w:rsid w:val="00576079"/>
    <w:rsid w:val="00576DA7"/>
    <w:rsid w:val="005774A5"/>
    <w:rsid w:val="005779AC"/>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F34"/>
    <w:rsid w:val="0059515C"/>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30"/>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0438"/>
    <w:rsid w:val="005C2260"/>
    <w:rsid w:val="005C3AB3"/>
    <w:rsid w:val="005C404D"/>
    <w:rsid w:val="005C4859"/>
    <w:rsid w:val="005C5AEB"/>
    <w:rsid w:val="005C64D7"/>
    <w:rsid w:val="005C783C"/>
    <w:rsid w:val="005C7ADE"/>
    <w:rsid w:val="005D0578"/>
    <w:rsid w:val="005D1C1E"/>
    <w:rsid w:val="005D2805"/>
    <w:rsid w:val="005D2946"/>
    <w:rsid w:val="005D3F2D"/>
    <w:rsid w:val="005D4FCC"/>
    <w:rsid w:val="005D649C"/>
    <w:rsid w:val="005D75F9"/>
    <w:rsid w:val="005E1CEA"/>
    <w:rsid w:val="005E1E23"/>
    <w:rsid w:val="005E25A4"/>
    <w:rsid w:val="005E2960"/>
    <w:rsid w:val="005E2C44"/>
    <w:rsid w:val="005E30D3"/>
    <w:rsid w:val="005E33A3"/>
    <w:rsid w:val="005E3958"/>
    <w:rsid w:val="005E3AF6"/>
    <w:rsid w:val="005E3E81"/>
    <w:rsid w:val="005E458C"/>
    <w:rsid w:val="005E4DB9"/>
    <w:rsid w:val="005E4DEA"/>
    <w:rsid w:val="005E63E1"/>
    <w:rsid w:val="005F0333"/>
    <w:rsid w:val="005F034D"/>
    <w:rsid w:val="005F067D"/>
    <w:rsid w:val="005F16B1"/>
    <w:rsid w:val="005F1BF9"/>
    <w:rsid w:val="005F21DB"/>
    <w:rsid w:val="005F22FB"/>
    <w:rsid w:val="005F2915"/>
    <w:rsid w:val="005F3A58"/>
    <w:rsid w:val="005F3CBD"/>
    <w:rsid w:val="005F4A4C"/>
    <w:rsid w:val="005F6496"/>
    <w:rsid w:val="005F67A0"/>
    <w:rsid w:val="005F7972"/>
    <w:rsid w:val="005F7AE4"/>
    <w:rsid w:val="00600701"/>
    <w:rsid w:val="00601706"/>
    <w:rsid w:val="00601F4A"/>
    <w:rsid w:val="0060388C"/>
    <w:rsid w:val="00603D9B"/>
    <w:rsid w:val="00603F1F"/>
    <w:rsid w:val="00603FF3"/>
    <w:rsid w:val="0060442E"/>
    <w:rsid w:val="00604928"/>
    <w:rsid w:val="00605384"/>
    <w:rsid w:val="00606A30"/>
    <w:rsid w:val="006070DC"/>
    <w:rsid w:val="0060762B"/>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215E"/>
    <w:rsid w:val="00622210"/>
    <w:rsid w:val="00622D02"/>
    <w:rsid w:val="00623626"/>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0F3F"/>
    <w:rsid w:val="00641CEF"/>
    <w:rsid w:val="0064268E"/>
    <w:rsid w:val="00642A65"/>
    <w:rsid w:val="00643300"/>
    <w:rsid w:val="0064425A"/>
    <w:rsid w:val="00644F4C"/>
    <w:rsid w:val="006455D1"/>
    <w:rsid w:val="0065024B"/>
    <w:rsid w:val="00650713"/>
    <w:rsid w:val="00650BA1"/>
    <w:rsid w:val="00651182"/>
    <w:rsid w:val="006512BF"/>
    <w:rsid w:val="006515A2"/>
    <w:rsid w:val="00651A7C"/>
    <w:rsid w:val="0065211E"/>
    <w:rsid w:val="0065218A"/>
    <w:rsid w:val="00652480"/>
    <w:rsid w:val="00652AA5"/>
    <w:rsid w:val="00652E8B"/>
    <w:rsid w:val="00653990"/>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5FE"/>
    <w:rsid w:val="0066573E"/>
    <w:rsid w:val="00665E5C"/>
    <w:rsid w:val="00666B12"/>
    <w:rsid w:val="00666D88"/>
    <w:rsid w:val="00667691"/>
    <w:rsid w:val="00667F8A"/>
    <w:rsid w:val="00671938"/>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2A16"/>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2F28"/>
    <w:rsid w:val="006A37E7"/>
    <w:rsid w:val="006A4031"/>
    <w:rsid w:val="006A4F90"/>
    <w:rsid w:val="006A5D7B"/>
    <w:rsid w:val="006A665A"/>
    <w:rsid w:val="006A66CB"/>
    <w:rsid w:val="006A6A94"/>
    <w:rsid w:val="006A6FBE"/>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51B9"/>
    <w:rsid w:val="006B73BC"/>
    <w:rsid w:val="006B7A80"/>
    <w:rsid w:val="006B7BCD"/>
    <w:rsid w:val="006C0138"/>
    <w:rsid w:val="006C10DC"/>
    <w:rsid w:val="006C15BB"/>
    <w:rsid w:val="006C15EF"/>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DA"/>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2C29"/>
    <w:rsid w:val="006F390D"/>
    <w:rsid w:val="006F6047"/>
    <w:rsid w:val="006F62AA"/>
    <w:rsid w:val="006F675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1878"/>
    <w:rsid w:val="0073300B"/>
    <w:rsid w:val="00733351"/>
    <w:rsid w:val="00735BB4"/>
    <w:rsid w:val="007363CF"/>
    <w:rsid w:val="00736DDE"/>
    <w:rsid w:val="00737712"/>
    <w:rsid w:val="00737AEA"/>
    <w:rsid w:val="007407DC"/>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572E"/>
    <w:rsid w:val="007761B3"/>
    <w:rsid w:val="0077671B"/>
    <w:rsid w:val="0078020C"/>
    <w:rsid w:val="00780610"/>
    <w:rsid w:val="00780B29"/>
    <w:rsid w:val="00780B48"/>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5BA1"/>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0AB6"/>
    <w:rsid w:val="007B1D44"/>
    <w:rsid w:val="007B3295"/>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17D11"/>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0CDF"/>
    <w:rsid w:val="008419DF"/>
    <w:rsid w:val="00841B5C"/>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2C73"/>
    <w:rsid w:val="00864C20"/>
    <w:rsid w:val="00865E5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260"/>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2E"/>
    <w:rsid w:val="008923F4"/>
    <w:rsid w:val="00892953"/>
    <w:rsid w:val="008934E0"/>
    <w:rsid w:val="008940C4"/>
    <w:rsid w:val="00894A35"/>
    <w:rsid w:val="00894B0A"/>
    <w:rsid w:val="008957D1"/>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15EB"/>
    <w:rsid w:val="008C2112"/>
    <w:rsid w:val="008C2904"/>
    <w:rsid w:val="008C3173"/>
    <w:rsid w:val="008C362E"/>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6A4"/>
    <w:rsid w:val="008E4772"/>
    <w:rsid w:val="008E486D"/>
    <w:rsid w:val="008E63F7"/>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3F91"/>
    <w:rsid w:val="00914D24"/>
    <w:rsid w:val="00920520"/>
    <w:rsid w:val="009205D3"/>
    <w:rsid w:val="00920642"/>
    <w:rsid w:val="00920ECD"/>
    <w:rsid w:val="009219AA"/>
    <w:rsid w:val="009220DF"/>
    <w:rsid w:val="009226D8"/>
    <w:rsid w:val="00923143"/>
    <w:rsid w:val="009234BB"/>
    <w:rsid w:val="00923AEA"/>
    <w:rsid w:val="009245A7"/>
    <w:rsid w:val="00924E05"/>
    <w:rsid w:val="00924E4B"/>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6E9"/>
    <w:rsid w:val="0095372E"/>
    <w:rsid w:val="00953F29"/>
    <w:rsid w:val="00954A4D"/>
    <w:rsid w:val="009563A3"/>
    <w:rsid w:val="00956630"/>
    <w:rsid w:val="00957C78"/>
    <w:rsid w:val="00960C1A"/>
    <w:rsid w:val="00960F73"/>
    <w:rsid w:val="009611B8"/>
    <w:rsid w:val="0096196E"/>
    <w:rsid w:val="00961C85"/>
    <w:rsid w:val="0096266E"/>
    <w:rsid w:val="009629BB"/>
    <w:rsid w:val="00963062"/>
    <w:rsid w:val="00963980"/>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CC1"/>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1ED0"/>
    <w:rsid w:val="009A37B3"/>
    <w:rsid w:val="009A3B8A"/>
    <w:rsid w:val="009A40F9"/>
    <w:rsid w:val="009A413C"/>
    <w:rsid w:val="009A45DA"/>
    <w:rsid w:val="009A561C"/>
    <w:rsid w:val="009A5854"/>
    <w:rsid w:val="009A6082"/>
    <w:rsid w:val="009A715C"/>
    <w:rsid w:val="009A7A47"/>
    <w:rsid w:val="009A7D00"/>
    <w:rsid w:val="009A7E04"/>
    <w:rsid w:val="009B0494"/>
    <w:rsid w:val="009B262A"/>
    <w:rsid w:val="009B29D5"/>
    <w:rsid w:val="009B2AF7"/>
    <w:rsid w:val="009B2DF8"/>
    <w:rsid w:val="009B4359"/>
    <w:rsid w:val="009B4A9B"/>
    <w:rsid w:val="009B4EA0"/>
    <w:rsid w:val="009B5DA8"/>
    <w:rsid w:val="009B72F9"/>
    <w:rsid w:val="009B77A7"/>
    <w:rsid w:val="009C091F"/>
    <w:rsid w:val="009C0EE1"/>
    <w:rsid w:val="009C0F68"/>
    <w:rsid w:val="009C2553"/>
    <w:rsid w:val="009C347A"/>
    <w:rsid w:val="009C3A01"/>
    <w:rsid w:val="009C4A98"/>
    <w:rsid w:val="009C50E8"/>
    <w:rsid w:val="009C54FE"/>
    <w:rsid w:val="009C56C6"/>
    <w:rsid w:val="009C570A"/>
    <w:rsid w:val="009C6612"/>
    <w:rsid w:val="009C6FD0"/>
    <w:rsid w:val="009C70C2"/>
    <w:rsid w:val="009C72C0"/>
    <w:rsid w:val="009C78FF"/>
    <w:rsid w:val="009D1EAC"/>
    <w:rsid w:val="009D2654"/>
    <w:rsid w:val="009D36FD"/>
    <w:rsid w:val="009D3A89"/>
    <w:rsid w:val="009D4634"/>
    <w:rsid w:val="009D4A13"/>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15C9"/>
    <w:rsid w:val="009F25A4"/>
    <w:rsid w:val="009F27BA"/>
    <w:rsid w:val="009F2955"/>
    <w:rsid w:val="009F2A15"/>
    <w:rsid w:val="009F32D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A64"/>
    <w:rsid w:val="00A02E2F"/>
    <w:rsid w:val="00A034F5"/>
    <w:rsid w:val="00A03F50"/>
    <w:rsid w:val="00A0513C"/>
    <w:rsid w:val="00A05EC8"/>
    <w:rsid w:val="00A064FD"/>
    <w:rsid w:val="00A06AFF"/>
    <w:rsid w:val="00A06E25"/>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3A7"/>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37A7F"/>
    <w:rsid w:val="00A4029D"/>
    <w:rsid w:val="00A4039D"/>
    <w:rsid w:val="00A408C5"/>
    <w:rsid w:val="00A40F41"/>
    <w:rsid w:val="00A41248"/>
    <w:rsid w:val="00A41F2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4DB"/>
    <w:rsid w:val="00A51DB5"/>
    <w:rsid w:val="00A51F1F"/>
    <w:rsid w:val="00A533BD"/>
    <w:rsid w:val="00A536C9"/>
    <w:rsid w:val="00A53BFA"/>
    <w:rsid w:val="00A5446B"/>
    <w:rsid w:val="00A5469D"/>
    <w:rsid w:val="00A54D8A"/>
    <w:rsid w:val="00A55D76"/>
    <w:rsid w:val="00A564CA"/>
    <w:rsid w:val="00A566EF"/>
    <w:rsid w:val="00A569AB"/>
    <w:rsid w:val="00A56E7F"/>
    <w:rsid w:val="00A614F5"/>
    <w:rsid w:val="00A62154"/>
    <w:rsid w:val="00A64E3D"/>
    <w:rsid w:val="00A654CF"/>
    <w:rsid w:val="00A65681"/>
    <w:rsid w:val="00A65AF5"/>
    <w:rsid w:val="00A65B59"/>
    <w:rsid w:val="00A660CE"/>
    <w:rsid w:val="00A67960"/>
    <w:rsid w:val="00A70954"/>
    <w:rsid w:val="00A70FBF"/>
    <w:rsid w:val="00A71708"/>
    <w:rsid w:val="00A7252D"/>
    <w:rsid w:val="00A73107"/>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0CC4"/>
    <w:rsid w:val="00A916B8"/>
    <w:rsid w:val="00A92047"/>
    <w:rsid w:val="00A93D61"/>
    <w:rsid w:val="00A941E0"/>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522"/>
    <w:rsid w:val="00AA4B26"/>
    <w:rsid w:val="00AA4C43"/>
    <w:rsid w:val="00AA51C5"/>
    <w:rsid w:val="00AA522F"/>
    <w:rsid w:val="00AA53AD"/>
    <w:rsid w:val="00AA6238"/>
    <w:rsid w:val="00AA62F3"/>
    <w:rsid w:val="00AA7522"/>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6C99"/>
    <w:rsid w:val="00AB72BF"/>
    <w:rsid w:val="00AB7451"/>
    <w:rsid w:val="00AB7884"/>
    <w:rsid w:val="00AB7BE2"/>
    <w:rsid w:val="00AC0F76"/>
    <w:rsid w:val="00AC197B"/>
    <w:rsid w:val="00AC45C1"/>
    <w:rsid w:val="00AC4A40"/>
    <w:rsid w:val="00AC4C4A"/>
    <w:rsid w:val="00AC530D"/>
    <w:rsid w:val="00AC5D5A"/>
    <w:rsid w:val="00AC5FC6"/>
    <w:rsid w:val="00AC6352"/>
    <w:rsid w:val="00AC6441"/>
    <w:rsid w:val="00AC6479"/>
    <w:rsid w:val="00AC682A"/>
    <w:rsid w:val="00AC71B2"/>
    <w:rsid w:val="00AC79A8"/>
    <w:rsid w:val="00AC79D2"/>
    <w:rsid w:val="00AC7DF5"/>
    <w:rsid w:val="00AC7F6C"/>
    <w:rsid w:val="00AD07EB"/>
    <w:rsid w:val="00AD0AB2"/>
    <w:rsid w:val="00AD0ABA"/>
    <w:rsid w:val="00AD128A"/>
    <w:rsid w:val="00AD231D"/>
    <w:rsid w:val="00AD3AC2"/>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AF767B"/>
    <w:rsid w:val="00B003A8"/>
    <w:rsid w:val="00B011F2"/>
    <w:rsid w:val="00B01309"/>
    <w:rsid w:val="00B01995"/>
    <w:rsid w:val="00B01A89"/>
    <w:rsid w:val="00B0254F"/>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C4C"/>
    <w:rsid w:val="00B22F37"/>
    <w:rsid w:val="00B22FC0"/>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1F5F"/>
    <w:rsid w:val="00B42594"/>
    <w:rsid w:val="00B434EA"/>
    <w:rsid w:val="00B43705"/>
    <w:rsid w:val="00B447E9"/>
    <w:rsid w:val="00B452B6"/>
    <w:rsid w:val="00B46AEC"/>
    <w:rsid w:val="00B46CCB"/>
    <w:rsid w:val="00B47C82"/>
    <w:rsid w:val="00B50FEF"/>
    <w:rsid w:val="00B52330"/>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3EF3"/>
    <w:rsid w:val="00B75021"/>
    <w:rsid w:val="00B75EA8"/>
    <w:rsid w:val="00B76F78"/>
    <w:rsid w:val="00B770AD"/>
    <w:rsid w:val="00B770CB"/>
    <w:rsid w:val="00B7731F"/>
    <w:rsid w:val="00B77B41"/>
    <w:rsid w:val="00B80D28"/>
    <w:rsid w:val="00B8120C"/>
    <w:rsid w:val="00B813D5"/>
    <w:rsid w:val="00B8376A"/>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1E14"/>
    <w:rsid w:val="00BF234B"/>
    <w:rsid w:val="00BF2411"/>
    <w:rsid w:val="00BF40C0"/>
    <w:rsid w:val="00BF415B"/>
    <w:rsid w:val="00BF4EAA"/>
    <w:rsid w:val="00BF55B8"/>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830"/>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50A"/>
    <w:rsid w:val="00C35E2F"/>
    <w:rsid w:val="00C3620B"/>
    <w:rsid w:val="00C3658A"/>
    <w:rsid w:val="00C36DFD"/>
    <w:rsid w:val="00C3715F"/>
    <w:rsid w:val="00C37474"/>
    <w:rsid w:val="00C40107"/>
    <w:rsid w:val="00C40A7D"/>
    <w:rsid w:val="00C412E9"/>
    <w:rsid w:val="00C418F0"/>
    <w:rsid w:val="00C41C1F"/>
    <w:rsid w:val="00C41D75"/>
    <w:rsid w:val="00C41FAA"/>
    <w:rsid w:val="00C4290A"/>
    <w:rsid w:val="00C43400"/>
    <w:rsid w:val="00C43D50"/>
    <w:rsid w:val="00C44308"/>
    <w:rsid w:val="00C45F63"/>
    <w:rsid w:val="00C460B7"/>
    <w:rsid w:val="00C463C0"/>
    <w:rsid w:val="00C50A52"/>
    <w:rsid w:val="00C5102B"/>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57FF0"/>
    <w:rsid w:val="00C606EE"/>
    <w:rsid w:val="00C60ADE"/>
    <w:rsid w:val="00C612EB"/>
    <w:rsid w:val="00C61AE3"/>
    <w:rsid w:val="00C61B70"/>
    <w:rsid w:val="00C62EEC"/>
    <w:rsid w:val="00C63DC4"/>
    <w:rsid w:val="00C64CCD"/>
    <w:rsid w:val="00C64EA5"/>
    <w:rsid w:val="00C65082"/>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6B76"/>
    <w:rsid w:val="00C7720E"/>
    <w:rsid w:val="00C81528"/>
    <w:rsid w:val="00C8184B"/>
    <w:rsid w:val="00C828AD"/>
    <w:rsid w:val="00C828B2"/>
    <w:rsid w:val="00C82B42"/>
    <w:rsid w:val="00C833A6"/>
    <w:rsid w:val="00C8344B"/>
    <w:rsid w:val="00C83551"/>
    <w:rsid w:val="00C842A6"/>
    <w:rsid w:val="00C843B1"/>
    <w:rsid w:val="00C84AE6"/>
    <w:rsid w:val="00C8500F"/>
    <w:rsid w:val="00C856FB"/>
    <w:rsid w:val="00C87012"/>
    <w:rsid w:val="00C8741D"/>
    <w:rsid w:val="00C87F19"/>
    <w:rsid w:val="00C9092D"/>
    <w:rsid w:val="00C909EF"/>
    <w:rsid w:val="00C90DE6"/>
    <w:rsid w:val="00C910CE"/>
    <w:rsid w:val="00C91610"/>
    <w:rsid w:val="00C9425B"/>
    <w:rsid w:val="00C948E6"/>
    <w:rsid w:val="00C94A76"/>
    <w:rsid w:val="00C9532E"/>
    <w:rsid w:val="00C95985"/>
    <w:rsid w:val="00C959F6"/>
    <w:rsid w:val="00C96E06"/>
    <w:rsid w:val="00C971AE"/>
    <w:rsid w:val="00C97877"/>
    <w:rsid w:val="00C97CFF"/>
    <w:rsid w:val="00CA1229"/>
    <w:rsid w:val="00CA1472"/>
    <w:rsid w:val="00CA171A"/>
    <w:rsid w:val="00CA1BA8"/>
    <w:rsid w:val="00CA2347"/>
    <w:rsid w:val="00CA2543"/>
    <w:rsid w:val="00CA25C3"/>
    <w:rsid w:val="00CA26DC"/>
    <w:rsid w:val="00CA2AE0"/>
    <w:rsid w:val="00CA398E"/>
    <w:rsid w:val="00CA42E3"/>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C7994"/>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2BCB"/>
    <w:rsid w:val="00CE333C"/>
    <w:rsid w:val="00CE3FFE"/>
    <w:rsid w:val="00CE4022"/>
    <w:rsid w:val="00CE4100"/>
    <w:rsid w:val="00CE416F"/>
    <w:rsid w:val="00CE4922"/>
    <w:rsid w:val="00CE5447"/>
    <w:rsid w:val="00CE602A"/>
    <w:rsid w:val="00CE6A26"/>
    <w:rsid w:val="00CE6A72"/>
    <w:rsid w:val="00CE722F"/>
    <w:rsid w:val="00CE7735"/>
    <w:rsid w:val="00CE7EF5"/>
    <w:rsid w:val="00CF03E1"/>
    <w:rsid w:val="00CF0576"/>
    <w:rsid w:val="00CF0FF3"/>
    <w:rsid w:val="00CF12EE"/>
    <w:rsid w:val="00CF2059"/>
    <w:rsid w:val="00CF2E15"/>
    <w:rsid w:val="00CF30C1"/>
    <w:rsid w:val="00CF357E"/>
    <w:rsid w:val="00CF53BE"/>
    <w:rsid w:val="00CF555C"/>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AA8"/>
    <w:rsid w:val="00D20ADB"/>
    <w:rsid w:val="00D20E48"/>
    <w:rsid w:val="00D21669"/>
    <w:rsid w:val="00D220B8"/>
    <w:rsid w:val="00D22E63"/>
    <w:rsid w:val="00D22E77"/>
    <w:rsid w:val="00D234D3"/>
    <w:rsid w:val="00D2397E"/>
    <w:rsid w:val="00D23DAF"/>
    <w:rsid w:val="00D248C5"/>
    <w:rsid w:val="00D25360"/>
    <w:rsid w:val="00D256DC"/>
    <w:rsid w:val="00D25BCE"/>
    <w:rsid w:val="00D2686D"/>
    <w:rsid w:val="00D2761B"/>
    <w:rsid w:val="00D2780C"/>
    <w:rsid w:val="00D30BC4"/>
    <w:rsid w:val="00D31CD5"/>
    <w:rsid w:val="00D3243D"/>
    <w:rsid w:val="00D326FC"/>
    <w:rsid w:val="00D33180"/>
    <w:rsid w:val="00D34717"/>
    <w:rsid w:val="00D36628"/>
    <w:rsid w:val="00D3672E"/>
    <w:rsid w:val="00D36C40"/>
    <w:rsid w:val="00D3768A"/>
    <w:rsid w:val="00D40B8E"/>
    <w:rsid w:val="00D41BE5"/>
    <w:rsid w:val="00D424F2"/>
    <w:rsid w:val="00D42BAC"/>
    <w:rsid w:val="00D42DD4"/>
    <w:rsid w:val="00D44CE6"/>
    <w:rsid w:val="00D44ED3"/>
    <w:rsid w:val="00D45CC4"/>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1FC"/>
    <w:rsid w:val="00D56DA7"/>
    <w:rsid w:val="00D57CB1"/>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15B9"/>
    <w:rsid w:val="00D726FC"/>
    <w:rsid w:val="00D7290F"/>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AEE"/>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193C"/>
    <w:rsid w:val="00DD24D7"/>
    <w:rsid w:val="00DD3696"/>
    <w:rsid w:val="00DD4BE3"/>
    <w:rsid w:val="00DD543E"/>
    <w:rsid w:val="00DD55E2"/>
    <w:rsid w:val="00DD599F"/>
    <w:rsid w:val="00DD672B"/>
    <w:rsid w:val="00DD6768"/>
    <w:rsid w:val="00DD727F"/>
    <w:rsid w:val="00DD7715"/>
    <w:rsid w:val="00DD7BAD"/>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CF6"/>
    <w:rsid w:val="00DF1EE6"/>
    <w:rsid w:val="00DF285E"/>
    <w:rsid w:val="00DF3165"/>
    <w:rsid w:val="00DF38B0"/>
    <w:rsid w:val="00DF5174"/>
    <w:rsid w:val="00DF53D1"/>
    <w:rsid w:val="00DF5BDD"/>
    <w:rsid w:val="00DF618F"/>
    <w:rsid w:val="00DF6838"/>
    <w:rsid w:val="00E004A9"/>
    <w:rsid w:val="00E00C8C"/>
    <w:rsid w:val="00E00F5C"/>
    <w:rsid w:val="00E029EA"/>
    <w:rsid w:val="00E02B76"/>
    <w:rsid w:val="00E0303C"/>
    <w:rsid w:val="00E03F24"/>
    <w:rsid w:val="00E04547"/>
    <w:rsid w:val="00E045C5"/>
    <w:rsid w:val="00E056FB"/>
    <w:rsid w:val="00E05BC2"/>
    <w:rsid w:val="00E05C1B"/>
    <w:rsid w:val="00E07640"/>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0B46"/>
    <w:rsid w:val="00E51614"/>
    <w:rsid w:val="00E519F6"/>
    <w:rsid w:val="00E52424"/>
    <w:rsid w:val="00E532E1"/>
    <w:rsid w:val="00E53501"/>
    <w:rsid w:val="00E548C6"/>
    <w:rsid w:val="00E5618E"/>
    <w:rsid w:val="00E566F2"/>
    <w:rsid w:val="00E57384"/>
    <w:rsid w:val="00E578EE"/>
    <w:rsid w:val="00E57DE0"/>
    <w:rsid w:val="00E57E2A"/>
    <w:rsid w:val="00E601DD"/>
    <w:rsid w:val="00E603C7"/>
    <w:rsid w:val="00E60A3C"/>
    <w:rsid w:val="00E614F2"/>
    <w:rsid w:val="00E61817"/>
    <w:rsid w:val="00E61B54"/>
    <w:rsid w:val="00E62225"/>
    <w:rsid w:val="00E624CA"/>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35D4"/>
    <w:rsid w:val="00E742DC"/>
    <w:rsid w:val="00E7441F"/>
    <w:rsid w:val="00E74683"/>
    <w:rsid w:val="00E74FA2"/>
    <w:rsid w:val="00E753B4"/>
    <w:rsid w:val="00E7558B"/>
    <w:rsid w:val="00E7564A"/>
    <w:rsid w:val="00E75FDA"/>
    <w:rsid w:val="00E76173"/>
    <w:rsid w:val="00E76458"/>
    <w:rsid w:val="00E76DBC"/>
    <w:rsid w:val="00E77432"/>
    <w:rsid w:val="00E80737"/>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325"/>
    <w:rsid w:val="00EA7DC2"/>
    <w:rsid w:val="00EB02C3"/>
    <w:rsid w:val="00EB0E2D"/>
    <w:rsid w:val="00EB113D"/>
    <w:rsid w:val="00EB17D9"/>
    <w:rsid w:val="00EB190E"/>
    <w:rsid w:val="00EB2217"/>
    <w:rsid w:val="00EB27C5"/>
    <w:rsid w:val="00EB2F31"/>
    <w:rsid w:val="00EB3C4E"/>
    <w:rsid w:val="00EB512A"/>
    <w:rsid w:val="00EB5454"/>
    <w:rsid w:val="00EB55A9"/>
    <w:rsid w:val="00EB5AF4"/>
    <w:rsid w:val="00EB5E1A"/>
    <w:rsid w:val="00EB72BA"/>
    <w:rsid w:val="00EB73A3"/>
    <w:rsid w:val="00EB7D9E"/>
    <w:rsid w:val="00EC0168"/>
    <w:rsid w:val="00EC13A1"/>
    <w:rsid w:val="00EC1D10"/>
    <w:rsid w:val="00EC2702"/>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485F"/>
    <w:rsid w:val="00EF5DF2"/>
    <w:rsid w:val="00EF60D4"/>
    <w:rsid w:val="00EF65FD"/>
    <w:rsid w:val="00EF6BDA"/>
    <w:rsid w:val="00EF70B2"/>
    <w:rsid w:val="00EF7AD4"/>
    <w:rsid w:val="00EF7D7F"/>
    <w:rsid w:val="00F00343"/>
    <w:rsid w:val="00F01393"/>
    <w:rsid w:val="00F01B5B"/>
    <w:rsid w:val="00F030F0"/>
    <w:rsid w:val="00F03131"/>
    <w:rsid w:val="00F03739"/>
    <w:rsid w:val="00F0393C"/>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725"/>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6FD"/>
    <w:rsid w:val="00F429B5"/>
    <w:rsid w:val="00F42C5F"/>
    <w:rsid w:val="00F4312C"/>
    <w:rsid w:val="00F431BB"/>
    <w:rsid w:val="00F435D4"/>
    <w:rsid w:val="00F436AB"/>
    <w:rsid w:val="00F45882"/>
    <w:rsid w:val="00F45898"/>
    <w:rsid w:val="00F469DC"/>
    <w:rsid w:val="00F474F9"/>
    <w:rsid w:val="00F47561"/>
    <w:rsid w:val="00F47785"/>
    <w:rsid w:val="00F47CE6"/>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4592"/>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3EDE"/>
    <w:rsid w:val="00FB459C"/>
    <w:rsid w:val="00FB4A5E"/>
    <w:rsid w:val="00FB5A87"/>
    <w:rsid w:val="00FB61D8"/>
    <w:rsid w:val="00FB6386"/>
    <w:rsid w:val="00FB73BD"/>
    <w:rsid w:val="00FB74F2"/>
    <w:rsid w:val="00FB7F50"/>
    <w:rsid w:val="00FC0011"/>
    <w:rsid w:val="00FC009F"/>
    <w:rsid w:val="00FC0C0B"/>
    <w:rsid w:val="00FC29D3"/>
    <w:rsid w:val="00FC386C"/>
    <w:rsid w:val="00FC3BA5"/>
    <w:rsid w:val="00FC3C01"/>
    <w:rsid w:val="00FC3D31"/>
    <w:rsid w:val="00FC3EA5"/>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493"/>
    <w:rsid w:val="00FD560C"/>
    <w:rsid w:val="00FD59B4"/>
    <w:rsid w:val="00FD6A36"/>
    <w:rsid w:val="00FE08CA"/>
    <w:rsid w:val="00FE0B90"/>
    <w:rsid w:val="00FE1386"/>
    <w:rsid w:val="00FE16C9"/>
    <w:rsid w:val="00FE1E32"/>
    <w:rsid w:val="00FE22D2"/>
    <w:rsid w:val="00FE2AF6"/>
    <w:rsid w:val="00FE312F"/>
    <w:rsid w:val="00FE3394"/>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CEE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4">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0534184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083AD-3002-4FFB-A292-B4CC9F03A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1522</Words>
  <Characters>8676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2017-07-28T10:15:00Z</dcterms:created>
  <dcterms:modified xsi:type="dcterms:W3CDTF">2017-08-11T12:52:00Z</dcterms:modified>
</cp:coreProperties>
</file>